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4B" w:rsidRDefault="006F5B09">
      <w:pPr>
        <w:jc w:val="center"/>
      </w:pPr>
      <w:bookmarkStart w:id="0" w:name="_GoBack"/>
      <w:bookmarkEnd w:id="0"/>
      <w:r>
        <w:rPr>
          <w:noProof/>
        </w:rPr>
        <w:drawing>
          <wp:inline distT="0" distB="0" distL="0" distR="0">
            <wp:extent cx="4752975" cy="2295525"/>
            <wp:effectExtent l="0" t="0" r="0" b="0"/>
            <wp:docPr id="1" name="0 Imagen" descr="/home/lobbygov/backend/temp/4d63de5338c483dc27eab1777d0632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obbygov/backend/temp/4d63de5338c483dc27eab1777d0632d3.jpeg"/>
                    <pic:cNvPicPr/>
                  </pic:nvPicPr>
                  <pic:blipFill>
                    <a:blip r:embed="rId8" cstate="print"/>
                    <a:stretch>
                      <a:fillRect/>
                    </a:stretch>
                  </pic:blipFill>
                  <pic:spPr>
                    <a:xfrm>
                      <a:off x="0" y="0"/>
                      <a:ext cx="4752975" cy="2295525"/>
                    </a:xfrm>
                    <a:prstGeom prst="rect">
                      <a:avLst/>
                    </a:prstGeom>
                  </pic:spPr>
                </pic:pic>
              </a:graphicData>
            </a:graphic>
          </wp:inline>
        </w:drawing>
      </w:r>
    </w:p>
    <w:p w:rsidR="00F3444B" w:rsidRDefault="00F3444B"/>
    <w:p w:rsidR="00F3444B" w:rsidRDefault="006F5B09" w:rsidP="00CC0845">
      <w:pPr>
        <w:pStyle w:val="Title"/>
        <w:jc w:val="center"/>
      </w:pPr>
      <w:r>
        <w:t>2017 Washington State Regular Legislative Session</w:t>
      </w:r>
    </w:p>
    <w:p w:rsidR="00F3444B" w:rsidRDefault="006F5B09" w:rsidP="00CC0845">
      <w:pPr>
        <w:pStyle w:val="Title"/>
        <w:jc w:val="center"/>
      </w:pPr>
      <w:r>
        <w:t>Escrow Association of Washington</w:t>
      </w:r>
    </w:p>
    <w:p w:rsidR="00F3444B" w:rsidRDefault="006F5B09" w:rsidP="00CC0845">
      <w:pPr>
        <w:pStyle w:val="Title"/>
        <w:jc w:val="center"/>
        <w:rPr>
          <w:sz w:val="24"/>
        </w:rPr>
      </w:pPr>
      <w:r w:rsidRPr="00CC0845">
        <w:rPr>
          <w:sz w:val="24"/>
        </w:rPr>
        <w:t>April 25, 2017</w:t>
      </w:r>
    </w:p>
    <w:p w:rsidR="009D694B" w:rsidRDefault="009D694B" w:rsidP="009D694B"/>
    <w:p w:rsidR="00B954CD" w:rsidRDefault="00B954CD" w:rsidP="00B954CD">
      <w:pPr>
        <w:pStyle w:val="Heading1"/>
        <w:jc w:val="left"/>
      </w:pPr>
      <w:r>
        <w:t>2017 Regular Legislative Session Adjourns Without A Budget Deal Again…</w:t>
      </w:r>
    </w:p>
    <w:p w:rsidR="008E2393" w:rsidRDefault="00B954CD" w:rsidP="008E2393">
      <w:pPr>
        <w:pStyle w:val="NoSpacing"/>
      </w:pPr>
      <w:r w:rsidRPr="00B954CD">
        <w:t xml:space="preserve">After 105 days in Olympia, state legislators </w:t>
      </w:r>
      <w:r w:rsidR="008E2393">
        <w:t>failed to reach an agreement on the details of the state operating budget, and went hom</w:t>
      </w:r>
      <w:r w:rsidR="00747401">
        <w:t>e</w:t>
      </w:r>
      <w:r w:rsidR="008E2393">
        <w:t xml:space="preserve"> for the weekend.</w:t>
      </w:r>
      <w:r w:rsidRPr="00B954CD">
        <w:t xml:space="preserve"> </w:t>
      </w:r>
      <w:r w:rsidR="008E2393">
        <w:t xml:space="preserve"> It’s n</w:t>
      </w:r>
      <w:r w:rsidRPr="00B954CD">
        <w:t>o s</w:t>
      </w:r>
      <w:r w:rsidR="008E2393">
        <w:t>urprise to anyone who’s been around on the hill since January; i</w:t>
      </w:r>
      <w:r w:rsidRPr="00B954CD">
        <w:t>s this even news?</w:t>
      </w:r>
      <w:r w:rsidR="008E2393">
        <w:t xml:space="preserve">  Yet</w:t>
      </w:r>
      <w:r w:rsidR="00065F97">
        <w:t>,</w:t>
      </w:r>
      <w:r w:rsidR="008E2393">
        <w:t xml:space="preserve"> another lackluster performance</w:t>
      </w:r>
      <w:r w:rsidR="00065F97">
        <w:t xml:space="preserve"> on budget negotiations.</w:t>
      </w:r>
    </w:p>
    <w:p w:rsidR="008E2393" w:rsidRPr="008E2393" w:rsidRDefault="008E2393" w:rsidP="008E2393">
      <w:pPr>
        <w:pStyle w:val="NoSpacing"/>
      </w:pPr>
    </w:p>
    <w:p w:rsidR="00B954CD" w:rsidRDefault="0055081D" w:rsidP="00B954CD">
      <w:pPr>
        <w:shd w:val="clear" w:color="auto" w:fill="FFFFFF"/>
        <w:spacing w:after="264"/>
        <w:rPr>
          <w:rFonts w:eastAsia="Times New Roman" w:cs="Times New Roman"/>
          <w:color w:val="333333"/>
        </w:rPr>
      </w:pPr>
      <w:r w:rsidRPr="00B954CD">
        <w:rPr>
          <w:rFonts w:eastAsia="Times New Roman" w:cs="Times New Roman"/>
          <w:color w:val="333333"/>
        </w:rPr>
        <w:t>During the regular session each</w:t>
      </w:r>
      <w:r w:rsidR="00747401">
        <w:rPr>
          <w:rFonts w:eastAsia="Times New Roman" w:cs="Times New Roman"/>
          <w:color w:val="333333"/>
        </w:rPr>
        <w:t xml:space="preserve"> political</w:t>
      </w:r>
      <w:r w:rsidRPr="00B954CD">
        <w:rPr>
          <w:rFonts w:eastAsia="Times New Roman" w:cs="Times New Roman"/>
          <w:color w:val="333333"/>
        </w:rPr>
        <w:t xml:space="preserve"> </w:t>
      </w:r>
      <w:r w:rsidR="00747401">
        <w:rPr>
          <w:rFonts w:eastAsia="Times New Roman" w:cs="Times New Roman"/>
          <w:color w:val="333333"/>
        </w:rPr>
        <w:t xml:space="preserve">party </w:t>
      </w:r>
      <w:r w:rsidRPr="00B954CD">
        <w:rPr>
          <w:rFonts w:eastAsia="Times New Roman" w:cs="Times New Roman"/>
          <w:color w:val="333333"/>
        </w:rPr>
        <w:t>assigned blame for the absence of negotiations.</w:t>
      </w:r>
      <w:r>
        <w:rPr>
          <w:rFonts w:eastAsia="Times New Roman" w:cs="Times New Roman"/>
          <w:color w:val="333333"/>
        </w:rPr>
        <w:t xml:space="preserve">  </w:t>
      </w:r>
      <w:r w:rsidR="008E2393">
        <w:rPr>
          <w:rFonts w:eastAsia="Times New Roman" w:cs="Times New Roman"/>
          <w:color w:val="333333"/>
        </w:rPr>
        <w:t xml:space="preserve">The closely divided </w:t>
      </w:r>
      <w:r w:rsidR="00B954CD" w:rsidRPr="00B954CD">
        <w:rPr>
          <w:rFonts w:eastAsia="Times New Roman" w:cs="Times New Roman"/>
          <w:color w:val="333333"/>
        </w:rPr>
        <w:t>Senate</w:t>
      </w:r>
      <w:r w:rsidR="00E70D95">
        <w:rPr>
          <w:rFonts w:eastAsia="Times New Roman" w:cs="Times New Roman"/>
          <w:color w:val="333333"/>
        </w:rPr>
        <w:t xml:space="preserve"> (R’s by 1)</w:t>
      </w:r>
      <w:r w:rsidR="00B954CD" w:rsidRPr="00B954CD">
        <w:rPr>
          <w:rFonts w:eastAsia="Times New Roman" w:cs="Times New Roman"/>
          <w:color w:val="333333"/>
        </w:rPr>
        <w:t xml:space="preserve"> blames the House. The </w:t>
      </w:r>
      <w:r w:rsidR="008E2393">
        <w:rPr>
          <w:rFonts w:eastAsia="Times New Roman" w:cs="Times New Roman"/>
          <w:color w:val="333333"/>
        </w:rPr>
        <w:t xml:space="preserve">closely divided </w:t>
      </w:r>
      <w:r w:rsidR="00B954CD" w:rsidRPr="00B954CD">
        <w:rPr>
          <w:rFonts w:eastAsia="Times New Roman" w:cs="Times New Roman"/>
          <w:color w:val="333333"/>
        </w:rPr>
        <w:t xml:space="preserve">House </w:t>
      </w:r>
      <w:r w:rsidR="00E70D95">
        <w:rPr>
          <w:rFonts w:eastAsia="Times New Roman" w:cs="Times New Roman"/>
          <w:color w:val="333333"/>
        </w:rPr>
        <w:t xml:space="preserve">(D’s by 2) </w:t>
      </w:r>
      <w:r w:rsidR="00B954CD" w:rsidRPr="00B954CD">
        <w:rPr>
          <w:rFonts w:eastAsia="Times New Roman" w:cs="Times New Roman"/>
          <w:color w:val="333333"/>
        </w:rPr>
        <w:t xml:space="preserve">blames the Senate. </w:t>
      </w:r>
      <w:r w:rsidR="008E2393">
        <w:rPr>
          <w:rFonts w:eastAsia="Times New Roman" w:cs="Times New Roman"/>
          <w:color w:val="333333"/>
        </w:rPr>
        <w:t xml:space="preserve"> </w:t>
      </w:r>
      <w:r w:rsidR="00747401">
        <w:rPr>
          <w:rFonts w:eastAsia="Times New Roman" w:cs="Times New Roman"/>
          <w:color w:val="333333"/>
        </w:rPr>
        <w:t>C</w:t>
      </w:r>
      <w:r w:rsidR="008E2393">
        <w:rPr>
          <w:rFonts w:eastAsia="Times New Roman" w:cs="Times New Roman"/>
          <w:color w:val="333333"/>
        </w:rPr>
        <w:t xml:space="preserve">onsequently, Governor Inslee </w:t>
      </w:r>
      <w:r w:rsidR="000E5A28">
        <w:rPr>
          <w:rFonts w:eastAsia="Times New Roman" w:cs="Times New Roman"/>
          <w:color w:val="333333"/>
        </w:rPr>
        <w:t xml:space="preserve">has called the Legislature </w:t>
      </w:r>
      <w:r w:rsidR="00B954CD" w:rsidRPr="00B954CD">
        <w:rPr>
          <w:rFonts w:eastAsia="Times New Roman" w:cs="Times New Roman"/>
          <w:color w:val="333333"/>
        </w:rPr>
        <w:t xml:space="preserve">into a </w:t>
      </w:r>
      <w:r w:rsidR="000E5A28">
        <w:rPr>
          <w:rFonts w:eastAsia="Times New Roman" w:cs="Times New Roman"/>
          <w:color w:val="333333"/>
        </w:rPr>
        <w:t xml:space="preserve">30-day </w:t>
      </w:r>
      <w:r w:rsidR="00B954CD" w:rsidRPr="00B954CD">
        <w:rPr>
          <w:rFonts w:eastAsia="Times New Roman" w:cs="Times New Roman"/>
          <w:color w:val="333333"/>
        </w:rPr>
        <w:t>special session</w:t>
      </w:r>
      <w:r w:rsidR="000E5A28">
        <w:rPr>
          <w:rFonts w:eastAsia="Times New Roman" w:cs="Times New Roman"/>
          <w:color w:val="333333"/>
        </w:rPr>
        <w:t xml:space="preserve">.  And, if their past performance is an indicator of how well they negotiate, there will be likely more than one special session.  </w:t>
      </w:r>
      <w:r w:rsidR="00B954CD" w:rsidRPr="00B954CD">
        <w:rPr>
          <w:rFonts w:eastAsia="Times New Roman" w:cs="Times New Roman"/>
          <w:color w:val="333333"/>
        </w:rPr>
        <w:t>In 2013 and 2015, they went into double overtime.</w:t>
      </w:r>
    </w:p>
    <w:p w:rsidR="00B954CD" w:rsidRDefault="00B954CD" w:rsidP="00B954CD">
      <w:pPr>
        <w:shd w:val="clear" w:color="auto" w:fill="FFFFFF"/>
        <w:spacing w:after="264"/>
        <w:rPr>
          <w:rFonts w:eastAsia="Times New Roman" w:cs="Times New Roman"/>
          <w:color w:val="333333"/>
        </w:rPr>
      </w:pPr>
      <w:r w:rsidRPr="00B954CD">
        <w:rPr>
          <w:rFonts w:eastAsia="Times New Roman" w:cs="Times New Roman"/>
          <w:color w:val="333333"/>
        </w:rPr>
        <w:t xml:space="preserve">House Democrats are not going to get all the of the tax increases they seek. </w:t>
      </w:r>
      <w:r w:rsidR="00747401">
        <w:rPr>
          <w:rFonts w:eastAsia="Times New Roman" w:cs="Times New Roman"/>
          <w:color w:val="333333"/>
        </w:rPr>
        <w:t xml:space="preserve"> </w:t>
      </w:r>
      <w:r w:rsidRPr="00B954CD">
        <w:rPr>
          <w:rFonts w:eastAsia="Times New Roman" w:cs="Times New Roman"/>
          <w:color w:val="333333"/>
        </w:rPr>
        <w:t xml:space="preserve">Senate Republicans are not going to suddenly roll over. By the same token, Senate Republicans cannot hope to satisfy the McCleary mandate </w:t>
      </w:r>
      <w:r w:rsidR="00747401">
        <w:rPr>
          <w:rFonts w:eastAsia="Times New Roman" w:cs="Times New Roman"/>
          <w:color w:val="333333"/>
        </w:rPr>
        <w:t xml:space="preserve">of $3.8 billion dollars </w:t>
      </w:r>
      <w:r w:rsidRPr="00B954CD">
        <w:rPr>
          <w:rFonts w:eastAsia="Times New Roman" w:cs="Times New Roman"/>
          <w:color w:val="333333"/>
        </w:rPr>
        <w:t>without more dedicated revenue or by shifting a complicated property tax decision to voters.</w:t>
      </w:r>
    </w:p>
    <w:p w:rsidR="005D0B3D" w:rsidRDefault="00747401" w:rsidP="005D0B3D">
      <w:pPr>
        <w:pStyle w:val="NoSpacing"/>
      </w:pPr>
      <w:r w:rsidRPr="005D0B3D">
        <w:rPr>
          <w:b/>
        </w:rPr>
        <w:t>SSB 5081</w:t>
      </w:r>
      <w:r w:rsidR="005D0B3D" w:rsidRPr="005D0B3D">
        <w:rPr>
          <w:b/>
        </w:rPr>
        <w:t xml:space="preserve"> Notarial Act Revision  </w:t>
      </w:r>
      <w:r w:rsidR="00DD5CD3" w:rsidRPr="00DD5CD3">
        <w:t>Th</w:t>
      </w:r>
      <w:r w:rsidR="003F1565">
        <w:t>e</w:t>
      </w:r>
      <w:r w:rsidR="00DD5CD3">
        <w:t xml:space="preserve"> Senate</w:t>
      </w:r>
      <w:r w:rsidR="00DD5CD3" w:rsidRPr="00DD5CD3">
        <w:t xml:space="preserve"> bill was amended in the House to accommodate</w:t>
      </w:r>
      <w:r w:rsidR="00DD5CD3">
        <w:t xml:space="preserve"> requests made for changes during public testimony.  The Senate did not concur with all the changes House made to the original content of the bill, so the House eventually receded to the Senate’s request</w:t>
      </w:r>
      <w:r w:rsidR="00DF40F4">
        <w:t>.   The bill is now substantially similar to RULONA.  A few key provisions of the bill make the following changes to law:</w:t>
      </w:r>
    </w:p>
    <w:p w:rsidR="00DF40F4" w:rsidRDefault="00DD5CD3" w:rsidP="00DF40F4">
      <w:pPr>
        <w:pStyle w:val="NoSpacing"/>
        <w:numPr>
          <w:ilvl w:val="0"/>
          <w:numId w:val="11"/>
        </w:numPr>
      </w:pPr>
      <w:r>
        <w:t>Strikes language requiring that an individual making a statement or executing a signature must do so "in the presence of" a notarial officer, and instead requires that the individual appear personally before the notarial officer per the language that is found in the 2010 R</w:t>
      </w:r>
      <w:r w:rsidR="00DF40F4">
        <w:t>ULONA recommended by the NCUSL.</w:t>
      </w:r>
    </w:p>
    <w:p w:rsidR="00DF40F4" w:rsidRDefault="00DD5CD3" w:rsidP="00DF40F4">
      <w:pPr>
        <w:pStyle w:val="NoSpacing"/>
        <w:numPr>
          <w:ilvl w:val="0"/>
          <w:numId w:val="11"/>
        </w:numPr>
      </w:pPr>
      <w:r>
        <w:t xml:space="preserve">Provides an exception to the RULONA section regarding instances in which an individual is physically unable to sign a record for situations which are governed by RCW 64.08.100 (pertaining to acknowledgments of real property deeds and mortgages), which section already specifies a </w:t>
      </w:r>
      <w:r w:rsidR="00DF40F4">
        <w:t>process for such situations.</w:t>
      </w:r>
    </w:p>
    <w:p w:rsidR="00DD5CD3" w:rsidRDefault="00DD5CD3" w:rsidP="00DF40F4">
      <w:pPr>
        <w:pStyle w:val="NoSpacing"/>
        <w:numPr>
          <w:ilvl w:val="0"/>
          <w:numId w:val="11"/>
        </w:numPr>
      </w:pPr>
      <w:r>
        <w:lastRenderedPageBreak/>
        <w:t>Provides, in two places, that neither the RULONA nor a commission as a notary public authorizes a person to provide court reporting services.</w:t>
      </w:r>
    </w:p>
    <w:p w:rsidR="00DD4120" w:rsidRDefault="00DD4120" w:rsidP="00DF40F4">
      <w:pPr>
        <w:pStyle w:val="NoSpacing"/>
        <w:numPr>
          <w:ilvl w:val="0"/>
          <w:numId w:val="11"/>
        </w:numPr>
      </w:pPr>
      <w:r>
        <w:t>A</w:t>
      </w:r>
      <w:r w:rsidR="00DF40F4">
        <w:t xml:space="preserve"> notary may obtain a license endorsement as an "electronic </w:t>
      </w:r>
      <w:r>
        <w:t>records notary public" from DOL.</w:t>
      </w:r>
    </w:p>
    <w:p w:rsidR="00DD4120" w:rsidRDefault="00DD4120" w:rsidP="00DF40F4">
      <w:pPr>
        <w:pStyle w:val="NoSpacing"/>
        <w:numPr>
          <w:ilvl w:val="0"/>
          <w:numId w:val="11"/>
        </w:numPr>
      </w:pPr>
      <w:r>
        <w:t>A</w:t>
      </w:r>
      <w:r w:rsidR="00DF40F4">
        <w:t xml:space="preserve"> notary may note a protest of a negotiable instrument only if the notary is licensed to practice law in this state, acting under the authority of a licensed attorney, or acting under the authority of a financial institution regulated by the state</w:t>
      </w:r>
      <w:r>
        <w:t>.</w:t>
      </w:r>
    </w:p>
    <w:p w:rsidR="00DD4120" w:rsidRDefault="00DD4120" w:rsidP="00DF40F4">
      <w:pPr>
        <w:pStyle w:val="NoSpacing"/>
        <w:numPr>
          <w:ilvl w:val="0"/>
          <w:numId w:val="11"/>
        </w:numPr>
      </w:pPr>
      <w:r>
        <w:t>N</w:t>
      </w:r>
      <w:r w:rsidR="00DF40F4">
        <w:t>otaries may not notarize their own signature or the signature of in-laws or step</w:t>
      </w:r>
      <w:r>
        <w:t>-relatives.</w:t>
      </w:r>
    </w:p>
    <w:p w:rsidR="00DD4120" w:rsidRDefault="00DD4120" w:rsidP="00DF40F4">
      <w:pPr>
        <w:pStyle w:val="NoSpacing"/>
        <w:numPr>
          <w:ilvl w:val="0"/>
          <w:numId w:val="11"/>
        </w:numPr>
      </w:pPr>
      <w:r>
        <w:t>N</w:t>
      </w:r>
      <w:r w:rsidR="00DF40F4">
        <w:t xml:space="preserve">otaries must compare the original document being notarized to </w:t>
      </w:r>
      <w:r>
        <w:t>a copy of the original document.</w:t>
      </w:r>
    </w:p>
    <w:p w:rsidR="00DD4120" w:rsidRDefault="00DD4120" w:rsidP="00DF40F4">
      <w:pPr>
        <w:pStyle w:val="NoSpacing"/>
        <w:numPr>
          <w:ilvl w:val="0"/>
          <w:numId w:val="11"/>
        </w:numPr>
      </w:pPr>
      <w:r>
        <w:t>N</w:t>
      </w:r>
      <w:r w:rsidR="00DF40F4">
        <w:t>otary certificates must be in English or in a dual language format with one language being English</w:t>
      </w:r>
      <w:r>
        <w:t>.</w:t>
      </w:r>
    </w:p>
    <w:p w:rsidR="00BE21B7" w:rsidRDefault="00BE21B7" w:rsidP="00DF40F4">
      <w:pPr>
        <w:pStyle w:val="NoSpacing"/>
        <w:numPr>
          <w:ilvl w:val="0"/>
          <w:numId w:val="11"/>
        </w:numPr>
      </w:pPr>
      <w:r>
        <w:t>Provides minimum standards for receiving a commission, including optional provisions for surety bonds, examination of applicants, and maintenance of journals of notarial acts;</w:t>
      </w:r>
    </w:p>
    <w:p w:rsidR="00DD4120" w:rsidRDefault="00DD4120" w:rsidP="00DF40F4">
      <w:pPr>
        <w:pStyle w:val="NoSpacing"/>
        <w:numPr>
          <w:ilvl w:val="0"/>
          <w:numId w:val="11"/>
        </w:numPr>
      </w:pPr>
      <w:r>
        <w:t>T</w:t>
      </w:r>
      <w:r w:rsidR="00DF40F4">
        <w:t>he Director of DOL does not have authori</w:t>
      </w:r>
      <w:r>
        <w:t>ty to invalidate a notarial act.</w:t>
      </w:r>
    </w:p>
    <w:p w:rsidR="00DD4120" w:rsidRDefault="00DF40F4" w:rsidP="00DF40F4">
      <w:pPr>
        <w:pStyle w:val="NoSpacing"/>
        <w:numPr>
          <w:ilvl w:val="0"/>
          <w:numId w:val="11"/>
        </w:numPr>
      </w:pPr>
      <w:r>
        <w:t xml:space="preserve">DOL must create and maintain an electronic </w:t>
      </w:r>
      <w:r w:rsidR="00DD4120">
        <w:t>database of licensed notaries.</w:t>
      </w:r>
    </w:p>
    <w:p w:rsidR="00DF40F4" w:rsidRPr="00DD5CD3" w:rsidRDefault="00DF40F4" w:rsidP="00DF40F4">
      <w:pPr>
        <w:pStyle w:val="NoSpacing"/>
        <w:numPr>
          <w:ilvl w:val="0"/>
          <w:numId w:val="11"/>
        </w:numPr>
      </w:pPr>
      <w:r>
        <w:t>Differences in the bill as compared to RULONA are an exception from prohibited acts for limited license legal technicians acting within the scope of their license, and removal of DOL authority to require applicants and renewals to pass a course or exam.</w:t>
      </w:r>
    </w:p>
    <w:p w:rsidR="005D0B3D" w:rsidRDefault="005D0B3D" w:rsidP="005D0B3D">
      <w:pPr>
        <w:pStyle w:val="NoSpacing"/>
        <w:rPr>
          <w:b/>
        </w:rPr>
      </w:pPr>
    </w:p>
    <w:p w:rsidR="005D0B3D" w:rsidRPr="005D0B3D" w:rsidRDefault="005D0B3D" w:rsidP="005D0B3D">
      <w:pPr>
        <w:pStyle w:val="NoSpacing"/>
        <w:rPr>
          <w:b/>
        </w:rPr>
      </w:pPr>
      <w:r w:rsidRPr="00BE21B7">
        <w:rPr>
          <w:b/>
        </w:rPr>
        <w:t>Effective date:</w:t>
      </w:r>
      <w:r>
        <w:t xml:space="preserve"> The bill takes effect on July 1, 2018.</w:t>
      </w:r>
    </w:p>
    <w:p w:rsidR="005D0B3D" w:rsidRPr="005D0B3D" w:rsidRDefault="005D0B3D" w:rsidP="005D0B3D">
      <w:pPr>
        <w:pStyle w:val="NoSpacing"/>
      </w:pPr>
    </w:p>
    <w:p w:rsidR="00F3444B" w:rsidRDefault="006F5B09">
      <w:pPr>
        <w:pStyle w:val="Heading1"/>
      </w:pPr>
      <w:r>
        <w:t>Bill Tracking Overview</w:t>
      </w:r>
    </w:p>
    <w:p w:rsidR="00F3444B" w:rsidRDefault="00F3444B"/>
    <w:tbl>
      <w:tblPr>
        <w:tblStyle w:val="NormalTablePHPDOCX"/>
        <w:tblW w:w="5000" w:type="pct"/>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478"/>
        <w:gridCol w:w="1478"/>
        <w:gridCol w:w="2141"/>
        <w:gridCol w:w="1257"/>
        <w:gridCol w:w="1257"/>
        <w:gridCol w:w="1257"/>
        <w:gridCol w:w="1474"/>
        <w:gridCol w:w="714"/>
      </w:tblGrid>
      <w:tr w:rsidR="00F3444B">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pPr>
              <w:jc w:val="center"/>
            </w:pPr>
            <w:r>
              <w:rPr>
                <w:b/>
                <w:color w:val="000000"/>
                <w:position w:val="-3"/>
                <w:sz w:val="21"/>
                <w:szCs w:val="21"/>
              </w:rPr>
              <w:t>Companion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Pr="00A35038" w:rsidRDefault="00A35038" w:rsidP="00A35038">
            <w:pPr>
              <w:jc w:val="center"/>
              <w:rPr>
                <w:b/>
                <w:sz w:val="20"/>
                <w:szCs w:val="20"/>
              </w:rPr>
            </w:pPr>
            <w:r w:rsidRPr="00A35038">
              <w:rPr>
                <w:b/>
                <w:sz w:val="22"/>
                <w:szCs w:val="20"/>
              </w:rPr>
              <w:t>Floor Vote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pPr>
              <w:jc w:val="center"/>
            </w:pPr>
            <w:r>
              <w:rPr>
                <w:b/>
                <w:color w:val="000000"/>
                <w:position w:val="-3"/>
                <w:sz w:val="21"/>
                <w:szCs w:val="21"/>
              </w:rPr>
              <w:t>Dead</w:t>
            </w:r>
          </w:p>
        </w:tc>
      </w:tr>
      <w:tr w:rsidR="00F3444B">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EA5979">
            <w:pPr>
              <w:textAlignment w:val="center"/>
            </w:pPr>
            <w:hyperlink r:id="rId9" w:history="1">
              <w:r w:rsidR="006F5B09">
                <w:rPr>
                  <w:color w:val="0000CC"/>
                  <w:position w:val="-3"/>
                  <w:sz w:val="21"/>
                  <w:szCs w:val="21"/>
                  <w:u w:val="single"/>
                </w:rPr>
                <w:t>EHB 1450</w:t>
              </w:r>
            </w:hyperlink>
          </w:p>
        </w:tc>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EA5979">
            <w:pPr>
              <w:textAlignment w:val="center"/>
            </w:pPr>
            <w:hyperlink r:id="rId10" w:history="1">
              <w:r w:rsidR="006F5B09">
                <w:rPr>
                  <w:color w:val="0000CC"/>
                  <w:position w:val="-3"/>
                  <w:sz w:val="21"/>
                  <w:szCs w:val="21"/>
                  <w:u w:val="single"/>
                </w:rPr>
                <w:t>ESB 5629</w:t>
              </w:r>
            </w:hyperlink>
          </w:p>
        </w:tc>
        <w:tc>
          <w:tcPr>
            <w:tcW w:w="10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Title insurance rating orgs.</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C 103 L 17</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Nealey</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Monitoring</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Pr="0021343D" w:rsidRDefault="0021343D">
            <w:pPr>
              <w:rPr>
                <w:b/>
                <w:sz w:val="20"/>
              </w:rPr>
            </w:pPr>
            <w:r w:rsidRPr="0021343D">
              <w:rPr>
                <w:b/>
                <w:sz w:val="20"/>
              </w:rPr>
              <w:t>House: 98-0</w:t>
            </w:r>
          </w:p>
          <w:p w:rsidR="0021343D" w:rsidRDefault="0021343D">
            <w:pPr>
              <w:rPr>
                <w:b/>
                <w:sz w:val="20"/>
              </w:rPr>
            </w:pPr>
            <w:r w:rsidRPr="0021343D">
              <w:rPr>
                <w:b/>
                <w:sz w:val="20"/>
              </w:rPr>
              <w:t>Senate:48-0</w:t>
            </w:r>
          </w:p>
          <w:p w:rsidR="00BE39C5" w:rsidRDefault="00BE39C5">
            <w:r>
              <w:rPr>
                <w:b/>
                <w:sz w:val="20"/>
              </w:rPr>
              <w:t>Gov signed</w:t>
            </w:r>
          </w:p>
        </w:tc>
        <w:tc>
          <w:tcPr>
            <w:tcW w:w="4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pPr>
              <w:jc w:val="center"/>
            </w:pPr>
            <w:r>
              <w:rPr>
                <w:b/>
                <w:color w:val="000000"/>
                <w:position w:val="-3"/>
                <w:sz w:val="21"/>
                <w:szCs w:val="21"/>
              </w:rPr>
              <w:t>No</w:t>
            </w:r>
          </w:p>
        </w:tc>
      </w:tr>
      <w:tr w:rsidR="00F3444B">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EA5979">
            <w:pPr>
              <w:textAlignment w:val="center"/>
            </w:pPr>
            <w:hyperlink r:id="rId11" w:history="1">
              <w:r w:rsidR="006F5B09">
                <w:rPr>
                  <w:color w:val="0000CC"/>
                  <w:position w:val="-3"/>
                  <w:sz w:val="21"/>
                  <w:szCs w:val="21"/>
                  <w:u w:val="single"/>
                </w:rPr>
                <w:t>SSB 5031</w:t>
              </w:r>
            </w:hyperlink>
          </w:p>
        </w:tc>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EA5979">
            <w:pPr>
              <w:textAlignment w:val="center"/>
            </w:pPr>
            <w:hyperlink r:id="rId12" w:history="1">
              <w:r w:rsidR="006F5B09">
                <w:rPr>
                  <w:color w:val="0000CC"/>
                  <w:position w:val="-3"/>
                  <w:sz w:val="21"/>
                  <w:szCs w:val="21"/>
                  <w:u w:val="single"/>
                </w:rPr>
                <w:t>SHB 1045</w:t>
              </w:r>
            </w:hyperlink>
          </w:p>
        </w:tc>
        <w:tc>
          <w:tcPr>
            <w:tcW w:w="10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Uniform money services act</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C 30 L 17</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Angel</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Monitoring</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Pr="0021343D" w:rsidRDefault="0021343D">
            <w:pPr>
              <w:rPr>
                <w:b/>
                <w:sz w:val="20"/>
              </w:rPr>
            </w:pPr>
            <w:r w:rsidRPr="0021343D">
              <w:rPr>
                <w:b/>
                <w:sz w:val="20"/>
              </w:rPr>
              <w:t>Senate: 48-0</w:t>
            </w:r>
          </w:p>
          <w:p w:rsidR="0021343D" w:rsidRDefault="0021343D">
            <w:pPr>
              <w:rPr>
                <w:b/>
                <w:sz w:val="20"/>
              </w:rPr>
            </w:pPr>
            <w:r w:rsidRPr="0021343D">
              <w:rPr>
                <w:b/>
                <w:sz w:val="20"/>
              </w:rPr>
              <w:t>House: 89-7</w:t>
            </w:r>
          </w:p>
          <w:p w:rsidR="00BE39C5" w:rsidRDefault="00BE39C5">
            <w:r>
              <w:rPr>
                <w:b/>
                <w:sz w:val="20"/>
              </w:rPr>
              <w:t>Gov signed</w:t>
            </w:r>
          </w:p>
        </w:tc>
        <w:tc>
          <w:tcPr>
            <w:tcW w:w="4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pPr>
              <w:jc w:val="center"/>
            </w:pPr>
            <w:r>
              <w:rPr>
                <w:b/>
                <w:color w:val="000000"/>
                <w:position w:val="-3"/>
                <w:sz w:val="21"/>
                <w:szCs w:val="21"/>
              </w:rPr>
              <w:t>No</w:t>
            </w:r>
          </w:p>
        </w:tc>
      </w:tr>
      <w:tr w:rsidR="00F3444B">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EA5979">
            <w:pPr>
              <w:textAlignment w:val="center"/>
            </w:pPr>
            <w:hyperlink r:id="rId13" w:history="1">
              <w:r w:rsidR="006F5B09">
                <w:rPr>
                  <w:color w:val="0000CC"/>
                  <w:position w:val="-3"/>
                  <w:sz w:val="21"/>
                  <w:szCs w:val="21"/>
                  <w:u w:val="single"/>
                </w:rPr>
                <w:t>SSB 5081</w:t>
              </w:r>
            </w:hyperlink>
          </w:p>
        </w:tc>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EA5979">
            <w:pPr>
              <w:textAlignment w:val="center"/>
            </w:pPr>
            <w:hyperlink r:id="rId14" w:history="1"/>
          </w:p>
        </w:tc>
        <w:tc>
          <w:tcPr>
            <w:tcW w:w="10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Uniform law on notarial acts</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Del to Gov</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Pedersen</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Monitoring</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Pr="00A87969" w:rsidRDefault="0021343D">
            <w:pPr>
              <w:rPr>
                <w:b/>
                <w:sz w:val="20"/>
              </w:rPr>
            </w:pPr>
            <w:r w:rsidRPr="00A87969">
              <w:rPr>
                <w:b/>
                <w:sz w:val="20"/>
              </w:rPr>
              <w:t>Senate: 48-1</w:t>
            </w:r>
          </w:p>
          <w:p w:rsidR="0021343D" w:rsidRPr="00A87969" w:rsidRDefault="0021343D">
            <w:pPr>
              <w:rPr>
                <w:b/>
                <w:sz w:val="20"/>
              </w:rPr>
            </w:pPr>
            <w:r w:rsidRPr="00A87969">
              <w:rPr>
                <w:b/>
                <w:sz w:val="20"/>
              </w:rPr>
              <w:t>House: 98-0</w:t>
            </w:r>
            <w:r w:rsidR="00A87969" w:rsidRPr="00A87969">
              <w:rPr>
                <w:b/>
                <w:sz w:val="20"/>
              </w:rPr>
              <w:t>;</w:t>
            </w:r>
          </w:p>
          <w:p w:rsidR="0021343D" w:rsidRPr="00A87969" w:rsidRDefault="0021343D">
            <w:pPr>
              <w:rPr>
                <w:b/>
                <w:sz w:val="20"/>
              </w:rPr>
            </w:pPr>
            <w:r w:rsidRPr="00A87969">
              <w:rPr>
                <w:b/>
                <w:sz w:val="20"/>
              </w:rPr>
              <w:t>Senate refuses House amendments;</w:t>
            </w:r>
          </w:p>
          <w:p w:rsidR="0021343D" w:rsidRPr="00A87969" w:rsidRDefault="0021343D">
            <w:pPr>
              <w:rPr>
                <w:b/>
                <w:sz w:val="20"/>
              </w:rPr>
            </w:pPr>
            <w:r w:rsidRPr="00A87969">
              <w:rPr>
                <w:b/>
                <w:sz w:val="20"/>
              </w:rPr>
              <w:t>House recedes</w:t>
            </w:r>
            <w:r w:rsidR="00A87969" w:rsidRPr="00A87969">
              <w:rPr>
                <w:b/>
                <w:sz w:val="20"/>
              </w:rPr>
              <w:t>:</w:t>
            </w:r>
            <w:r w:rsidRPr="00A87969">
              <w:rPr>
                <w:b/>
                <w:sz w:val="20"/>
              </w:rPr>
              <w:t xml:space="preserve"> 94-2</w:t>
            </w:r>
          </w:p>
          <w:p w:rsidR="0021343D" w:rsidRDefault="0021343D">
            <w:r w:rsidRPr="00A87969">
              <w:rPr>
                <w:b/>
                <w:sz w:val="20"/>
              </w:rPr>
              <w:t>Senate: 48-1</w:t>
            </w:r>
          </w:p>
          <w:p w:rsidR="0021343D" w:rsidRPr="00BE39C5" w:rsidRDefault="00BE39C5">
            <w:pPr>
              <w:rPr>
                <w:b/>
              </w:rPr>
            </w:pPr>
            <w:r w:rsidRPr="00BE39C5">
              <w:rPr>
                <w:b/>
                <w:sz w:val="20"/>
              </w:rPr>
              <w:t>Delivered to Gov</w:t>
            </w:r>
          </w:p>
        </w:tc>
        <w:tc>
          <w:tcPr>
            <w:tcW w:w="4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pPr>
              <w:jc w:val="center"/>
            </w:pPr>
            <w:r>
              <w:rPr>
                <w:b/>
                <w:color w:val="000000"/>
                <w:position w:val="-3"/>
                <w:sz w:val="21"/>
                <w:szCs w:val="21"/>
              </w:rPr>
              <w:t>No</w:t>
            </w:r>
          </w:p>
        </w:tc>
      </w:tr>
      <w:tr w:rsidR="00F3444B">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EA5979">
            <w:pPr>
              <w:textAlignment w:val="center"/>
            </w:pPr>
            <w:hyperlink r:id="rId15" w:history="1">
              <w:r w:rsidR="006F5B09">
                <w:rPr>
                  <w:color w:val="0000CC"/>
                  <w:position w:val="-3"/>
                  <w:sz w:val="21"/>
                  <w:szCs w:val="21"/>
                  <w:u w:val="single"/>
                </w:rPr>
                <w:t>SB 5125</w:t>
              </w:r>
            </w:hyperlink>
          </w:p>
        </w:tc>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EA5979">
            <w:pPr>
              <w:textAlignment w:val="center"/>
            </w:pPr>
            <w:hyperlink r:id="rId16" w:history="1">
              <w:r w:rsidR="006F5B09">
                <w:rPr>
                  <w:color w:val="0000CC"/>
                  <w:position w:val="-3"/>
                  <w:sz w:val="21"/>
                  <w:szCs w:val="21"/>
                  <w:u w:val="single"/>
                </w:rPr>
                <w:t>HB 1137</w:t>
              </w:r>
            </w:hyperlink>
          </w:p>
        </w:tc>
        <w:tc>
          <w:tcPr>
            <w:tcW w:w="10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Real estate/contractors</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C 59 L 17</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Braun</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r>
              <w:rPr>
                <w:color w:val="000000"/>
                <w:position w:val="-3"/>
                <w:sz w:val="21"/>
                <w:szCs w:val="21"/>
              </w:rPr>
              <w:t>Monitoring</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Pr="00BE39C5" w:rsidRDefault="00BE39C5">
            <w:pPr>
              <w:rPr>
                <w:b/>
                <w:sz w:val="22"/>
                <w:szCs w:val="22"/>
              </w:rPr>
            </w:pPr>
            <w:r w:rsidRPr="00BE39C5">
              <w:rPr>
                <w:b/>
                <w:sz w:val="22"/>
                <w:szCs w:val="22"/>
              </w:rPr>
              <w:t>Senate: 48-0</w:t>
            </w:r>
          </w:p>
          <w:p w:rsidR="00BE39C5" w:rsidRPr="00BE39C5" w:rsidRDefault="00BE39C5">
            <w:pPr>
              <w:rPr>
                <w:b/>
                <w:sz w:val="22"/>
                <w:szCs w:val="22"/>
              </w:rPr>
            </w:pPr>
            <w:r w:rsidRPr="00BE39C5">
              <w:rPr>
                <w:b/>
                <w:sz w:val="22"/>
                <w:szCs w:val="22"/>
              </w:rPr>
              <w:t>House: 96-0</w:t>
            </w:r>
          </w:p>
          <w:p w:rsidR="00BE39C5" w:rsidRDefault="00BE39C5">
            <w:r w:rsidRPr="00BE39C5">
              <w:rPr>
                <w:b/>
                <w:sz w:val="22"/>
                <w:szCs w:val="22"/>
              </w:rPr>
              <w:t>Gov signed</w:t>
            </w:r>
          </w:p>
        </w:tc>
        <w:tc>
          <w:tcPr>
            <w:tcW w:w="4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3444B" w:rsidRDefault="006F5B09">
            <w:pPr>
              <w:jc w:val="center"/>
            </w:pPr>
            <w:r>
              <w:rPr>
                <w:b/>
                <w:color w:val="000000"/>
                <w:position w:val="-3"/>
                <w:sz w:val="21"/>
                <w:szCs w:val="21"/>
              </w:rPr>
              <w:t>No</w:t>
            </w:r>
          </w:p>
        </w:tc>
      </w:tr>
    </w:tbl>
    <w:p w:rsidR="00F3444B" w:rsidRDefault="006F5B09">
      <w:pPr>
        <w:pStyle w:val="Heading1"/>
      </w:pPr>
      <w:r>
        <w:t>Detailed Bill Summary</w:t>
      </w:r>
    </w:p>
    <w:p w:rsidR="00F3444B" w:rsidRDefault="00F3444B"/>
    <w:tbl>
      <w:tblPr>
        <w:tblStyle w:val="NormalTablePHPDOCX"/>
        <w:tblW w:w="5000" w:type="pct"/>
        <w:tblCellSpacing w:w="30" w:type="dxa"/>
        <w:tblInd w:w="168" w:type="dxa"/>
        <w:tblLook w:val="04A0" w:firstRow="1" w:lastRow="0" w:firstColumn="1" w:lastColumn="0" w:noHBand="0" w:noVBand="1"/>
      </w:tblPr>
      <w:tblGrid>
        <w:gridCol w:w="1595"/>
        <w:gridCol w:w="3287"/>
        <w:gridCol w:w="1566"/>
        <w:gridCol w:w="1566"/>
        <w:gridCol w:w="1566"/>
        <w:gridCol w:w="1596"/>
      </w:tblGrid>
      <w:tr w:rsidR="00F3444B">
        <w:trPr>
          <w:tblCellSpacing w:w="30" w:type="dxa"/>
        </w:trPr>
        <w:tc>
          <w:tcPr>
            <w:tcW w:w="0" w:type="auto"/>
            <w:gridSpan w:val="2"/>
            <w:tcMar>
              <w:top w:w="0" w:type="auto"/>
              <w:bottom w:w="0" w:type="auto"/>
            </w:tcMar>
            <w:vAlign w:val="center"/>
          </w:tcPr>
          <w:p w:rsidR="00F3444B" w:rsidRDefault="006F5B09">
            <w:r>
              <w:rPr>
                <w:b/>
                <w:color w:val="000000"/>
                <w:position w:val="-3"/>
                <w:sz w:val="21"/>
                <w:szCs w:val="21"/>
                <w:u w:val="single"/>
              </w:rPr>
              <w:t>Bill Details</w:t>
            </w:r>
          </w:p>
        </w:tc>
        <w:tc>
          <w:tcPr>
            <w:tcW w:w="0" w:type="auto"/>
            <w:tcMar>
              <w:top w:w="0" w:type="auto"/>
              <w:bottom w:w="0" w:type="auto"/>
            </w:tcMar>
            <w:vAlign w:val="center"/>
          </w:tcPr>
          <w:p w:rsidR="00F3444B" w:rsidRDefault="006F5B09">
            <w:r>
              <w:rPr>
                <w:b/>
                <w:color w:val="000000"/>
                <w:position w:val="-3"/>
                <w:sz w:val="21"/>
                <w:szCs w:val="21"/>
                <w:u w:val="single"/>
              </w:rPr>
              <w:t>Status</w:t>
            </w:r>
          </w:p>
        </w:tc>
        <w:tc>
          <w:tcPr>
            <w:tcW w:w="0" w:type="auto"/>
            <w:tcMar>
              <w:top w:w="0" w:type="auto"/>
              <w:bottom w:w="0" w:type="auto"/>
            </w:tcMar>
            <w:vAlign w:val="center"/>
          </w:tcPr>
          <w:p w:rsidR="00F3444B" w:rsidRDefault="006F5B09">
            <w:r>
              <w:rPr>
                <w:b/>
                <w:color w:val="000000"/>
                <w:position w:val="-3"/>
                <w:sz w:val="21"/>
                <w:szCs w:val="21"/>
                <w:u w:val="single"/>
              </w:rPr>
              <w:t>Sponsor</w:t>
            </w:r>
          </w:p>
        </w:tc>
        <w:tc>
          <w:tcPr>
            <w:tcW w:w="0" w:type="auto"/>
            <w:tcMar>
              <w:top w:w="0" w:type="auto"/>
              <w:bottom w:w="0" w:type="auto"/>
            </w:tcMar>
            <w:vAlign w:val="center"/>
          </w:tcPr>
          <w:p w:rsidR="00F3444B" w:rsidRDefault="006F5B09">
            <w:r>
              <w:rPr>
                <w:b/>
                <w:color w:val="000000"/>
                <w:position w:val="-3"/>
                <w:sz w:val="21"/>
                <w:szCs w:val="21"/>
                <w:u w:val="single"/>
              </w:rPr>
              <w:t>Priority</w:t>
            </w:r>
          </w:p>
        </w:tc>
        <w:tc>
          <w:tcPr>
            <w:tcW w:w="0" w:type="auto"/>
            <w:tcMar>
              <w:top w:w="0" w:type="auto"/>
              <w:bottom w:w="0" w:type="auto"/>
            </w:tcMar>
            <w:vAlign w:val="center"/>
          </w:tcPr>
          <w:p w:rsidR="00F3444B" w:rsidRDefault="006F5B09">
            <w:r>
              <w:rPr>
                <w:b/>
                <w:color w:val="000000"/>
                <w:position w:val="-3"/>
                <w:sz w:val="21"/>
                <w:szCs w:val="21"/>
                <w:u w:val="single"/>
              </w:rPr>
              <w:t>Position</w:t>
            </w:r>
          </w:p>
        </w:tc>
      </w:tr>
      <w:tr w:rsidR="00F3444B">
        <w:trPr>
          <w:tblCellSpacing w:w="30" w:type="dxa"/>
        </w:trPr>
        <w:tc>
          <w:tcPr>
            <w:tcW w:w="5000" w:type="pct"/>
            <w:gridSpan w:val="6"/>
            <w:tcMar>
              <w:top w:w="0" w:type="auto"/>
              <w:bottom w:w="0" w:type="auto"/>
            </w:tcMar>
            <w:vAlign w:val="center"/>
          </w:tcPr>
          <w:p w:rsidR="00F3444B" w:rsidRDefault="00EA5979">
            <w:r>
              <w:pict>
                <v:rect id="_x0000_i1025" style="width:0;height:1.5pt" o:hralign="center" o:hrstd="t" o:hr="t" fillcolor="#aca899" stroked="f"/>
              </w:pict>
            </w:r>
          </w:p>
        </w:tc>
      </w:tr>
      <w:tr w:rsidR="00F3444B">
        <w:trPr>
          <w:tblCellSpacing w:w="30" w:type="dxa"/>
        </w:trPr>
        <w:tc>
          <w:tcPr>
            <w:tcW w:w="700" w:type="pct"/>
            <w:vMerge w:val="restart"/>
            <w:tcMar>
              <w:top w:w="0" w:type="auto"/>
              <w:bottom w:w="0" w:type="auto"/>
            </w:tcMar>
            <w:vAlign w:val="center"/>
          </w:tcPr>
          <w:p w:rsidR="00F3444B" w:rsidRDefault="00EA5979">
            <w:pPr>
              <w:textAlignment w:val="center"/>
            </w:pPr>
            <w:hyperlink r:id="rId17" w:history="1">
              <w:r w:rsidR="006F5B09">
                <w:rPr>
                  <w:b/>
                  <w:color w:val="0000CC"/>
                  <w:position w:val="-3"/>
                  <w:sz w:val="21"/>
                  <w:szCs w:val="21"/>
                  <w:u w:val="single"/>
                </w:rPr>
                <w:t>EHB 1450</w:t>
              </w:r>
            </w:hyperlink>
            <w:r w:rsidR="006F5B09">
              <w:rPr>
                <w:b/>
                <w:color w:val="000000"/>
                <w:position w:val="-3"/>
                <w:sz w:val="21"/>
                <w:szCs w:val="21"/>
              </w:rPr>
              <w:br/>
              <w:t>(ESB 5629)</w:t>
            </w:r>
          </w:p>
        </w:tc>
        <w:tc>
          <w:tcPr>
            <w:tcW w:w="1500" w:type="pct"/>
            <w:tcMar>
              <w:top w:w="0" w:type="auto"/>
              <w:bottom w:w="0" w:type="auto"/>
            </w:tcMar>
            <w:vAlign w:val="center"/>
          </w:tcPr>
          <w:p w:rsidR="00F3444B" w:rsidRDefault="006F5B09">
            <w:r>
              <w:rPr>
                <w:b/>
                <w:color w:val="000000"/>
                <w:position w:val="-3"/>
                <w:sz w:val="21"/>
                <w:szCs w:val="21"/>
              </w:rPr>
              <w:t>Title insurance rating orgs.</w:t>
            </w:r>
          </w:p>
        </w:tc>
        <w:tc>
          <w:tcPr>
            <w:tcW w:w="700" w:type="pct"/>
            <w:tcMar>
              <w:top w:w="0" w:type="auto"/>
              <w:bottom w:w="0" w:type="auto"/>
            </w:tcMar>
            <w:vAlign w:val="center"/>
          </w:tcPr>
          <w:p w:rsidR="00F3444B" w:rsidRDefault="006F5B09">
            <w:r>
              <w:rPr>
                <w:color w:val="000000"/>
                <w:position w:val="-3"/>
                <w:sz w:val="21"/>
                <w:szCs w:val="21"/>
              </w:rPr>
              <w:t>C 103 L 17</w:t>
            </w:r>
          </w:p>
        </w:tc>
        <w:tc>
          <w:tcPr>
            <w:tcW w:w="700" w:type="pct"/>
            <w:tcMar>
              <w:top w:w="0" w:type="auto"/>
              <w:bottom w:w="0" w:type="auto"/>
            </w:tcMar>
            <w:vAlign w:val="center"/>
          </w:tcPr>
          <w:p w:rsidR="00F3444B" w:rsidRDefault="006F5B09">
            <w:r>
              <w:rPr>
                <w:color w:val="000000"/>
                <w:position w:val="-3"/>
                <w:sz w:val="21"/>
                <w:szCs w:val="21"/>
              </w:rPr>
              <w:t>Nealey</w:t>
            </w:r>
          </w:p>
        </w:tc>
        <w:tc>
          <w:tcPr>
            <w:tcW w:w="700" w:type="pct"/>
            <w:tcMar>
              <w:top w:w="0" w:type="auto"/>
              <w:bottom w:w="0" w:type="auto"/>
            </w:tcMar>
            <w:vAlign w:val="center"/>
          </w:tcPr>
          <w:p w:rsidR="00F3444B" w:rsidRDefault="006F5B09">
            <w:r>
              <w:rPr>
                <w:color w:val="000000"/>
                <w:position w:val="-3"/>
                <w:sz w:val="21"/>
                <w:szCs w:val="21"/>
              </w:rPr>
              <w:t>Monitoring</w:t>
            </w:r>
          </w:p>
        </w:tc>
        <w:tc>
          <w:tcPr>
            <w:tcW w:w="700" w:type="pct"/>
            <w:tcMar>
              <w:top w:w="0" w:type="auto"/>
              <w:bottom w:w="0" w:type="auto"/>
            </w:tcMar>
            <w:vAlign w:val="center"/>
          </w:tcPr>
          <w:p w:rsidR="00F3444B" w:rsidRDefault="00F3444B"/>
        </w:tc>
      </w:tr>
      <w:tr w:rsidR="00F3444B">
        <w:trPr>
          <w:tblCellSpacing w:w="30" w:type="dxa"/>
        </w:trPr>
        <w:tc>
          <w:tcPr>
            <w:tcW w:w="0" w:type="auto"/>
            <w:vMerge/>
          </w:tcPr>
          <w:p w:rsidR="00F3444B" w:rsidRDefault="00F3444B"/>
        </w:tc>
        <w:tc>
          <w:tcPr>
            <w:tcW w:w="0" w:type="auto"/>
            <w:gridSpan w:val="5"/>
            <w:tcMar>
              <w:top w:w="0" w:type="auto"/>
              <w:bottom w:w="0" w:type="auto"/>
            </w:tcMar>
            <w:vAlign w:val="center"/>
          </w:tcPr>
          <w:p w:rsidR="00F3444B" w:rsidRDefault="006F5B09">
            <w:r>
              <w:rPr>
                <w:color w:val="000000"/>
                <w:position w:val="-3"/>
                <w:sz w:val="21"/>
                <w:szCs w:val="21"/>
              </w:rPr>
              <w:t>Creating and establishing the rights and duties for title insurance rating and advisory organizations.</w:t>
            </w:r>
            <w:r>
              <w:rPr>
                <w:i/>
                <w:color w:val="000000"/>
                <w:position w:val="-3"/>
                <w:sz w:val="21"/>
                <w:szCs w:val="21"/>
              </w:rPr>
              <w:br/>
            </w:r>
            <w:r>
              <w:rPr>
                <w:i/>
                <w:color w:val="000000"/>
                <w:position w:val="-3"/>
                <w:sz w:val="21"/>
                <w:szCs w:val="21"/>
              </w:rPr>
              <w:br/>
              <w:t>Sponsors:</w:t>
            </w:r>
            <w:r>
              <w:rPr>
                <w:color w:val="000000"/>
                <w:position w:val="-3"/>
                <w:sz w:val="21"/>
                <w:szCs w:val="21"/>
              </w:rPr>
              <w:t xml:space="preserve"> Nealey (Prime), Kirby, Vick</w:t>
            </w:r>
            <w:r>
              <w:rPr>
                <w:i/>
                <w:color w:val="000000"/>
                <w:position w:val="-3"/>
                <w:sz w:val="21"/>
                <w:szCs w:val="21"/>
              </w:rPr>
              <w:br/>
            </w:r>
            <w:r>
              <w:rPr>
                <w:i/>
                <w:color w:val="000000"/>
                <w:position w:val="-3"/>
                <w:sz w:val="21"/>
                <w:szCs w:val="21"/>
              </w:rPr>
              <w:br/>
              <w:t>Summary:</w:t>
            </w:r>
            <w:r>
              <w:rPr>
                <w:color w:val="000000"/>
                <w:position w:val="-3"/>
                <w:sz w:val="21"/>
                <w:szCs w:val="21"/>
              </w:rPr>
              <w:t xml:space="preserve"> HB 1450 - DIGEST Establishes a system by which title insurers may adopt a rating organization's form and rate filings in order to benefit consumers and entities purchasing, selling, or financing real property.</w:t>
            </w:r>
            <w:r>
              <w:rPr>
                <w:i/>
                <w:color w:val="000000"/>
                <w:position w:val="-3"/>
                <w:sz w:val="21"/>
                <w:szCs w:val="21"/>
              </w:rPr>
              <w:br/>
            </w:r>
            <w:r>
              <w:rPr>
                <w:i/>
                <w:color w:val="000000"/>
                <w:position w:val="-3"/>
                <w:sz w:val="21"/>
                <w:szCs w:val="21"/>
              </w:rPr>
              <w:br/>
              <w:t>Comments:</w:t>
            </w:r>
            <w:r>
              <w:rPr>
                <w:color w:val="000000"/>
                <w:position w:val="-3"/>
                <w:sz w:val="21"/>
                <w:szCs w:val="21"/>
              </w:rPr>
              <w:t xml:space="preserve"> WLTA supports the bill.</w:t>
            </w:r>
          </w:p>
        </w:tc>
      </w:tr>
      <w:tr w:rsidR="00F3444B">
        <w:trPr>
          <w:tblCellSpacing w:w="30" w:type="dxa"/>
        </w:trPr>
        <w:tc>
          <w:tcPr>
            <w:tcW w:w="5000" w:type="pct"/>
            <w:gridSpan w:val="6"/>
            <w:tcMar>
              <w:top w:w="0" w:type="auto"/>
              <w:bottom w:w="0" w:type="auto"/>
            </w:tcMar>
            <w:vAlign w:val="center"/>
          </w:tcPr>
          <w:p w:rsidR="00F3444B" w:rsidRDefault="00EA5979">
            <w:r>
              <w:pict>
                <v:rect id="_x0000_i1026" style="width:0;height:1.5pt" o:hralign="center" o:hrstd="t" o:hr="t" fillcolor="#aca899" stroked="f"/>
              </w:pict>
            </w:r>
          </w:p>
        </w:tc>
      </w:tr>
      <w:tr w:rsidR="00F3444B">
        <w:trPr>
          <w:tblCellSpacing w:w="30" w:type="dxa"/>
        </w:trPr>
        <w:tc>
          <w:tcPr>
            <w:tcW w:w="700" w:type="pct"/>
            <w:vMerge w:val="restart"/>
            <w:tcMar>
              <w:top w:w="0" w:type="auto"/>
              <w:bottom w:w="0" w:type="auto"/>
            </w:tcMar>
            <w:vAlign w:val="center"/>
          </w:tcPr>
          <w:p w:rsidR="00F3444B" w:rsidRDefault="00EA5979">
            <w:pPr>
              <w:textAlignment w:val="center"/>
            </w:pPr>
            <w:hyperlink r:id="rId18" w:history="1">
              <w:r w:rsidR="006F5B09">
                <w:rPr>
                  <w:b/>
                  <w:color w:val="0000CC"/>
                  <w:position w:val="-3"/>
                  <w:sz w:val="21"/>
                  <w:szCs w:val="21"/>
                  <w:u w:val="single"/>
                </w:rPr>
                <w:t>SSB 5031</w:t>
              </w:r>
            </w:hyperlink>
            <w:r w:rsidR="006F5B09">
              <w:rPr>
                <w:b/>
                <w:color w:val="000000"/>
                <w:position w:val="-3"/>
                <w:sz w:val="21"/>
                <w:szCs w:val="21"/>
              </w:rPr>
              <w:br/>
              <w:t>(SHB 1045)</w:t>
            </w:r>
          </w:p>
        </w:tc>
        <w:tc>
          <w:tcPr>
            <w:tcW w:w="1500" w:type="pct"/>
            <w:tcMar>
              <w:top w:w="0" w:type="auto"/>
              <w:bottom w:w="0" w:type="auto"/>
            </w:tcMar>
            <w:vAlign w:val="center"/>
          </w:tcPr>
          <w:p w:rsidR="00F3444B" w:rsidRDefault="006F5B09">
            <w:r>
              <w:rPr>
                <w:b/>
                <w:color w:val="000000"/>
                <w:position w:val="-3"/>
                <w:sz w:val="21"/>
                <w:szCs w:val="21"/>
              </w:rPr>
              <w:t>Uniform money services act</w:t>
            </w:r>
          </w:p>
        </w:tc>
        <w:tc>
          <w:tcPr>
            <w:tcW w:w="700" w:type="pct"/>
            <w:tcMar>
              <w:top w:w="0" w:type="auto"/>
              <w:bottom w:w="0" w:type="auto"/>
            </w:tcMar>
            <w:vAlign w:val="center"/>
          </w:tcPr>
          <w:p w:rsidR="00F3444B" w:rsidRDefault="006F5B09">
            <w:r>
              <w:rPr>
                <w:color w:val="000000"/>
                <w:position w:val="-3"/>
                <w:sz w:val="21"/>
                <w:szCs w:val="21"/>
              </w:rPr>
              <w:t>C 30 L 17</w:t>
            </w:r>
          </w:p>
        </w:tc>
        <w:tc>
          <w:tcPr>
            <w:tcW w:w="700" w:type="pct"/>
            <w:tcMar>
              <w:top w:w="0" w:type="auto"/>
              <w:bottom w:w="0" w:type="auto"/>
            </w:tcMar>
            <w:vAlign w:val="center"/>
          </w:tcPr>
          <w:p w:rsidR="00F3444B" w:rsidRDefault="006F5B09">
            <w:r>
              <w:rPr>
                <w:color w:val="000000"/>
                <w:position w:val="-3"/>
                <w:sz w:val="21"/>
                <w:szCs w:val="21"/>
              </w:rPr>
              <w:t>Angel</w:t>
            </w:r>
          </w:p>
        </w:tc>
        <w:tc>
          <w:tcPr>
            <w:tcW w:w="700" w:type="pct"/>
            <w:tcMar>
              <w:top w:w="0" w:type="auto"/>
              <w:bottom w:w="0" w:type="auto"/>
            </w:tcMar>
            <w:vAlign w:val="center"/>
          </w:tcPr>
          <w:p w:rsidR="00F3444B" w:rsidRDefault="006F5B09">
            <w:r>
              <w:rPr>
                <w:color w:val="000000"/>
                <w:position w:val="-3"/>
                <w:sz w:val="21"/>
                <w:szCs w:val="21"/>
              </w:rPr>
              <w:t>Monitoring</w:t>
            </w:r>
          </w:p>
        </w:tc>
        <w:tc>
          <w:tcPr>
            <w:tcW w:w="700" w:type="pct"/>
            <w:tcMar>
              <w:top w:w="0" w:type="auto"/>
              <w:bottom w:w="0" w:type="auto"/>
            </w:tcMar>
            <w:vAlign w:val="center"/>
          </w:tcPr>
          <w:p w:rsidR="00F3444B" w:rsidRDefault="00F3444B"/>
        </w:tc>
      </w:tr>
      <w:tr w:rsidR="00F3444B">
        <w:trPr>
          <w:tblCellSpacing w:w="30" w:type="dxa"/>
        </w:trPr>
        <w:tc>
          <w:tcPr>
            <w:tcW w:w="0" w:type="auto"/>
            <w:vMerge/>
          </w:tcPr>
          <w:p w:rsidR="00F3444B" w:rsidRDefault="00F3444B"/>
        </w:tc>
        <w:tc>
          <w:tcPr>
            <w:tcW w:w="0" w:type="auto"/>
            <w:gridSpan w:val="5"/>
            <w:tcMar>
              <w:top w:w="0" w:type="auto"/>
              <w:bottom w:w="0" w:type="auto"/>
            </w:tcMar>
            <w:vAlign w:val="center"/>
          </w:tcPr>
          <w:p w:rsidR="00F3444B" w:rsidRDefault="006F5B09">
            <w:r>
              <w:rPr>
                <w:color w:val="000000"/>
                <w:position w:val="-3"/>
                <w:sz w:val="21"/>
                <w:szCs w:val="21"/>
              </w:rPr>
              <w:t>Addressing licensing and enforcement provisions applicable to money transmitters and currency exchanges under the uniform money services act.</w:t>
            </w:r>
            <w:r>
              <w:rPr>
                <w:i/>
                <w:color w:val="000000"/>
                <w:position w:val="-3"/>
                <w:sz w:val="21"/>
                <w:szCs w:val="21"/>
              </w:rPr>
              <w:br/>
            </w:r>
            <w:r>
              <w:rPr>
                <w:i/>
                <w:color w:val="000000"/>
                <w:position w:val="-3"/>
                <w:sz w:val="21"/>
                <w:szCs w:val="21"/>
              </w:rPr>
              <w:br/>
              <w:t>Sponsors:</w:t>
            </w:r>
            <w:r>
              <w:rPr>
                <w:color w:val="000000"/>
                <w:position w:val="-3"/>
                <w:sz w:val="21"/>
                <w:szCs w:val="21"/>
              </w:rPr>
              <w:t xml:space="preserve"> Angel (Prime), Mullet</w:t>
            </w:r>
            <w:r>
              <w:rPr>
                <w:i/>
                <w:color w:val="000000"/>
                <w:position w:val="-3"/>
                <w:sz w:val="21"/>
                <w:szCs w:val="21"/>
              </w:rPr>
              <w:br/>
            </w:r>
            <w:r>
              <w:rPr>
                <w:i/>
                <w:color w:val="000000"/>
                <w:position w:val="-3"/>
                <w:sz w:val="21"/>
                <w:szCs w:val="21"/>
              </w:rPr>
              <w:br/>
              <w:t>Summary:</w:t>
            </w:r>
            <w:r>
              <w:rPr>
                <w:color w:val="000000"/>
                <w:position w:val="-3"/>
                <w:sz w:val="21"/>
                <w:szCs w:val="21"/>
              </w:rPr>
              <w:t xml:space="preserve"> Revises the uniform money services act with regard to licensing and enforcement provisions applicable to money transmitters and currency exchanges.</w:t>
            </w:r>
            <w:r>
              <w:rPr>
                <w:i/>
                <w:color w:val="000000"/>
                <w:position w:val="-3"/>
                <w:sz w:val="21"/>
                <w:szCs w:val="21"/>
              </w:rPr>
              <w:br/>
            </w:r>
            <w:r>
              <w:rPr>
                <w:i/>
                <w:color w:val="000000"/>
                <w:position w:val="-3"/>
                <w:sz w:val="21"/>
                <w:szCs w:val="21"/>
              </w:rPr>
              <w:br/>
              <w:t>Comments:</w:t>
            </w:r>
            <w:r>
              <w:rPr>
                <w:color w:val="000000"/>
                <w:position w:val="-3"/>
                <w:sz w:val="21"/>
                <w:szCs w:val="21"/>
              </w:rPr>
              <w:t xml:space="preserve"> Introduced at the request of the Department of Financial Institutions.</w:t>
            </w:r>
          </w:p>
        </w:tc>
      </w:tr>
      <w:tr w:rsidR="00F3444B">
        <w:trPr>
          <w:tblCellSpacing w:w="30" w:type="dxa"/>
        </w:trPr>
        <w:tc>
          <w:tcPr>
            <w:tcW w:w="5000" w:type="pct"/>
            <w:gridSpan w:val="6"/>
            <w:tcMar>
              <w:top w:w="0" w:type="auto"/>
              <w:bottom w:w="0" w:type="auto"/>
            </w:tcMar>
            <w:vAlign w:val="center"/>
          </w:tcPr>
          <w:p w:rsidR="00F3444B" w:rsidRDefault="00EA5979">
            <w:r>
              <w:pict>
                <v:rect id="_x0000_i1027" style="width:0;height:1.5pt" o:hralign="center" o:hrstd="t" o:hr="t" fillcolor="#aca899" stroked="f"/>
              </w:pict>
            </w:r>
          </w:p>
        </w:tc>
      </w:tr>
      <w:tr w:rsidR="00F3444B">
        <w:trPr>
          <w:tblCellSpacing w:w="30" w:type="dxa"/>
        </w:trPr>
        <w:tc>
          <w:tcPr>
            <w:tcW w:w="700" w:type="pct"/>
            <w:vMerge w:val="restart"/>
            <w:tcMar>
              <w:top w:w="0" w:type="auto"/>
              <w:bottom w:w="0" w:type="auto"/>
            </w:tcMar>
            <w:vAlign w:val="center"/>
          </w:tcPr>
          <w:p w:rsidR="00F3444B" w:rsidRDefault="00EA5979">
            <w:pPr>
              <w:textAlignment w:val="center"/>
            </w:pPr>
            <w:hyperlink r:id="rId19" w:history="1">
              <w:r w:rsidR="006F5B09">
                <w:rPr>
                  <w:b/>
                  <w:color w:val="0000CC"/>
                  <w:position w:val="-3"/>
                  <w:sz w:val="21"/>
                  <w:szCs w:val="21"/>
                  <w:u w:val="single"/>
                </w:rPr>
                <w:t>SSB 5081</w:t>
              </w:r>
            </w:hyperlink>
          </w:p>
        </w:tc>
        <w:tc>
          <w:tcPr>
            <w:tcW w:w="1500" w:type="pct"/>
            <w:tcMar>
              <w:top w:w="0" w:type="auto"/>
              <w:bottom w:w="0" w:type="auto"/>
            </w:tcMar>
            <w:vAlign w:val="center"/>
          </w:tcPr>
          <w:p w:rsidR="00F3444B" w:rsidRDefault="006F5B09">
            <w:r>
              <w:rPr>
                <w:b/>
                <w:color w:val="000000"/>
                <w:position w:val="-3"/>
                <w:sz w:val="21"/>
                <w:szCs w:val="21"/>
              </w:rPr>
              <w:t>Uniform law on notarial acts</w:t>
            </w:r>
          </w:p>
        </w:tc>
        <w:tc>
          <w:tcPr>
            <w:tcW w:w="700" w:type="pct"/>
            <w:tcMar>
              <w:top w:w="0" w:type="auto"/>
              <w:bottom w:w="0" w:type="auto"/>
            </w:tcMar>
            <w:vAlign w:val="center"/>
          </w:tcPr>
          <w:p w:rsidR="00F3444B" w:rsidRDefault="006F5B09">
            <w:r>
              <w:rPr>
                <w:color w:val="000000"/>
                <w:position w:val="-3"/>
                <w:sz w:val="21"/>
                <w:szCs w:val="21"/>
              </w:rPr>
              <w:t>Del to Gov</w:t>
            </w:r>
          </w:p>
        </w:tc>
        <w:tc>
          <w:tcPr>
            <w:tcW w:w="700" w:type="pct"/>
            <w:tcMar>
              <w:top w:w="0" w:type="auto"/>
              <w:bottom w:w="0" w:type="auto"/>
            </w:tcMar>
            <w:vAlign w:val="center"/>
          </w:tcPr>
          <w:p w:rsidR="00F3444B" w:rsidRDefault="006F5B09">
            <w:r>
              <w:rPr>
                <w:color w:val="000000"/>
                <w:position w:val="-3"/>
                <w:sz w:val="21"/>
                <w:szCs w:val="21"/>
              </w:rPr>
              <w:t>Pedersen</w:t>
            </w:r>
          </w:p>
        </w:tc>
        <w:tc>
          <w:tcPr>
            <w:tcW w:w="700" w:type="pct"/>
            <w:tcMar>
              <w:top w:w="0" w:type="auto"/>
              <w:bottom w:w="0" w:type="auto"/>
            </w:tcMar>
            <w:vAlign w:val="center"/>
          </w:tcPr>
          <w:p w:rsidR="00F3444B" w:rsidRDefault="006F5B09">
            <w:r>
              <w:rPr>
                <w:color w:val="000000"/>
                <w:position w:val="-3"/>
                <w:sz w:val="21"/>
                <w:szCs w:val="21"/>
              </w:rPr>
              <w:t>Monitoring</w:t>
            </w:r>
          </w:p>
        </w:tc>
        <w:tc>
          <w:tcPr>
            <w:tcW w:w="700" w:type="pct"/>
            <w:tcMar>
              <w:top w:w="0" w:type="auto"/>
              <w:bottom w:w="0" w:type="auto"/>
            </w:tcMar>
            <w:vAlign w:val="center"/>
          </w:tcPr>
          <w:p w:rsidR="00F3444B" w:rsidRDefault="00F3444B"/>
        </w:tc>
      </w:tr>
      <w:tr w:rsidR="00F3444B">
        <w:trPr>
          <w:tblCellSpacing w:w="30" w:type="dxa"/>
        </w:trPr>
        <w:tc>
          <w:tcPr>
            <w:tcW w:w="0" w:type="auto"/>
            <w:vMerge/>
          </w:tcPr>
          <w:p w:rsidR="00F3444B" w:rsidRDefault="00F3444B"/>
        </w:tc>
        <w:tc>
          <w:tcPr>
            <w:tcW w:w="0" w:type="auto"/>
            <w:gridSpan w:val="5"/>
            <w:tcMar>
              <w:top w:w="0" w:type="auto"/>
              <w:bottom w:w="0" w:type="auto"/>
            </w:tcMar>
            <w:vAlign w:val="center"/>
          </w:tcPr>
          <w:p w:rsidR="00F3444B" w:rsidRPr="00672339" w:rsidRDefault="006F5B09" w:rsidP="00672339">
            <w:pPr>
              <w:rPr>
                <w:color w:val="000000"/>
                <w:position w:val="-3"/>
                <w:sz w:val="21"/>
                <w:szCs w:val="21"/>
              </w:rPr>
            </w:pPr>
            <w:r>
              <w:rPr>
                <w:color w:val="000000"/>
                <w:position w:val="-3"/>
                <w:sz w:val="21"/>
                <w:szCs w:val="21"/>
              </w:rPr>
              <w:t>Adopting the revised uniform law on notarial acts.</w:t>
            </w:r>
            <w:r>
              <w:rPr>
                <w:i/>
                <w:color w:val="000000"/>
                <w:position w:val="-3"/>
                <w:sz w:val="21"/>
                <w:szCs w:val="21"/>
              </w:rPr>
              <w:br/>
            </w:r>
            <w:r>
              <w:rPr>
                <w:i/>
                <w:color w:val="000000"/>
                <w:position w:val="-3"/>
                <w:sz w:val="21"/>
                <w:szCs w:val="21"/>
              </w:rPr>
              <w:br/>
              <w:t>Sponsors:</w:t>
            </w:r>
            <w:r>
              <w:rPr>
                <w:color w:val="000000"/>
                <w:position w:val="-3"/>
                <w:sz w:val="21"/>
                <w:szCs w:val="21"/>
              </w:rPr>
              <w:t xml:space="preserve"> Pedersen (Prime), Miloscia</w:t>
            </w:r>
            <w:r>
              <w:rPr>
                <w:i/>
                <w:color w:val="000000"/>
                <w:position w:val="-3"/>
                <w:sz w:val="21"/>
                <w:szCs w:val="21"/>
              </w:rPr>
              <w:br/>
            </w:r>
            <w:r>
              <w:rPr>
                <w:i/>
                <w:color w:val="000000"/>
                <w:position w:val="-3"/>
                <w:sz w:val="21"/>
                <w:szCs w:val="21"/>
              </w:rPr>
              <w:br/>
              <w:t>Summary:</w:t>
            </w:r>
            <w:r>
              <w:rPr>
                <w:color w:val="000000"/>
                <w:position w:val="-3"/>
                <w:sz w:val="21"/>
                <w:szCs w:val="21"/>
              </w:rPr>
              <w:t xml:space="preserve"> Adopts the revised uniform law on notarial acts. Repeals chapter 42.44 RCW (notaries public).</w:t>
            </w:r>
            <w:r>
              <w:rPr>
                <w:i/>
                <w:color w:val="000000"/>
                <w:position w:val="-3"/>
                <w:sz w:val="21"/>
                <w:szCs w:val="21"/>
              </w:rPr>
              <w:br/>
            </w:r>
            <w:r>
              <w:rPr>
                <w:i/>
                <w:color w:val="000000"/>
                <w:position w:val="-3"/>
                <w:sz w:val="21"/>
                <w:szCs w:val="21"/>
              </w:rPr>
              <w:br/>
              <w:t>Comments:</w:t>
            </w:r>
            <w:r>
              <w:rPr>
                <w:color w:val="000000"/>
                <w:position w:val="-3"/>
                <w:sz w:val="21"/>
                <w:szCs w:val="21"/>
              </w:rPr>
              <w:t xml:space="preserve"> WLTA testified in opposition to the language in Section 6. </w:t>
            </w:r>
            <w:r w:rsidR="00672339">
              <w:rPr>
                <w:color w:val="000000"/>
                <w:position w:val="-3"/>
                <w:sz w:val="21"/>
                <w:szCs w:val="21"/>
              </w:rPr>
              <w:t>House a</w:t>
            </w:r>
            <w:r>
              <w:rPr>
                <w:color w:val="000000"/>
                <w:position w:val="-3"/>
                <w:sz w:val="21"/>
                <w:szCs w:val="21"/>
              </w:rPr>
              <w:t xml:space="preserve">mendment was adopted </w:t>
            </w:r>
            <w:r w:rsidR="00672339">
              <w:rPr>
                <w:color w:val="000000"/>
                <w:position w:val="-3"/>
                <w:sz w:val="21"/>
                <w:szCs w:val="21"/>
              </w:rPr>
              <w:t xml:space="preserve">in committee </w:t>
            </w:r>
            <w:r>
              <w:rPr>
                <w:color w:val="000000"/>
                <w:position w:val="-3"/>
                <w:sz w:val="21"/>
                <w:szCs w:val="21"/>
              </w:rPr>
              <w:t>to change the word "presence" to "personal appearance".</w:t>
            </w:r>
            <w:r w:rsidR="00672339">
              <w:rPr>
                <w:color w:val="000000"/>
                <w:position w:val="-3"/>
                <w:sz w:val="21"/>
                <w:szCs w:val="21"/>
              </w:rPr>
              <w:t xml:space="preserve"> </w:t>
            </w:r>
          </w:p>
        </w:tc>
      </w:tr>
      <w:tr w:rsidR="00F3444B">
        <w:trPr>
          <w:tblCellSpacing w:w="30" w:type="dxa"/>
        </w:trPr>
        <w:tc>
          <w:tcPr>
            <w:tcW w:w="5000" w:type="pct"/>
            <w:gridSpan w:val="6"/>
            <w:tcMar>
              <w:top w:w="0" w:type="auto"/>
              <w:bottom w:w="0" w:type="auto"/>
            </w:tcMar>
            <w:vAlign w:val="center"/>
          </w:tcPr>
          <w:p w:rsidR="00F3444B" w:rsidRDefault="00EA5979">
            <w:r>
              <w:pict>
                <v:rect id="_x0000_i1028" style="width:0;height:1.5pt" o:hralign="center" o:hrstd="t" o:hr="t" fillcolor="#aca899" stroked="f"/>
              </w:pict>
            </w:r>
          </w:p>
        </w:tc>
      </w:tr>
      <w:tr w:rsidR="00F3444B">
        <w:trPr>
          <w:tblCellSpacing w:w="30" w:type="dxa"/>
        </w:trPr>
        <w:tc>
          <w:tcPr>
            <w:tcW w:w="700" w:type="pct"/>
            <w:vMerge w:val="restart"/>
            <w:tcMar>
              <w:top w:w="0" w:type="auto"/>
              <w:bottom w:w="0" w:type="auto"/>
            </w:tcMar>
            <w:vAlign w:val="center"/>
          </w:tcPr>
          <w:p w:rsidR="00F3444B" w:rsidRDefault="00EA5979">
            <w:pPr>
              <w:textAlignment w:val="center"/>
            </w:pPr>
            <w:hyperlink r:id="rId20" w:history="1">
              <w:r w:rsidR="006F5B09">
                <w:rPr>
                  <w:b/>
                  <w:color w:val="0000CC"/>
                  <w:position w:val="-3"/>
                  <w:sz w:val="21"/>
                  <w:szCs w:val="21"/>
                  <w:u w:val="single"/>
                </w:rPr>
                <w:t>SB 5125</w:t>
              </w:r>
            </w:hyperlink>
            <w:r w:rsidR="006F5B09">
              <w:rPr>
                <w:b/>
                <w:color w:val="000000"/>
                <w:position w:val="-3"/>
                <w:sz w:val="21"/>
                <w:szCs w:val="21"/>
              </w:rPr>
              <w:br/>
              <w:t>(HB 1137)</w:t>
            </w:r>
          </w:p>
        </w:tc>
        <w:tc>
          <w:tcPr>
            <w:tcW w:w="1500" w:type="pct"/>
            <w:tcMar>
              <w:top w:w="0" w:type="auto"/>
              <w:bottom w:w="0" w:type="auto"/>
            </w:tcMar>
            <w:vAlign w:val="center"/>
          </w:tcPr>
          <w:p w:rsidR="00F3444B" w:rsidRDefault="006F5B09">
            <w:r>
              <w:rPr>
                <w:b/>
                <w:color w:val="000000"/>
                <w:position w:val="-3"/>
                <w:sz w:val="21"/>
                <w:szCs w:val="21"/>
              </w:rPr>
              <w:t>Real estate/contractors</w:t>
            </w:r>
          </w:p>
        </w:tc>
        <w:tc>
          <w:tcPr>
            <w:tcW w:w="700" w:type="pct"/>
            <w:tcMar>
              <w:top w:w="0" w:type="auto"/>
              <w:bottom w:w="0" w:type="auto"/>
            </w:tcMar>
            <w:vAlign w:val="center"/>
          </w:tcPr>
          <w:p w:rsidR="00F3444B" w:rsidRDefault="006F5B09">
            <w:r>
              <w:rPr>
                <w:color w:val="000000"/>
                <w:position w:val="-3"/>
                <w:sz w:val="21"/>
                <w:szCs w:val="21"/>
              </w:rPr>
              <w:t>C 59 L 17</w:t>
            </w:r>
          </w:p>
        </w:tc>
        <w:tc>
          <w:tcPr>
            <w:tcW w:w="700" w:type="pct"/>
            <w:tcMar>
              <w:top w:w="0" w:type="auto"/>
              <w:bottom w:w="0" w:type="auto"/>
            </w:tcMar>
            <w:vAlign w:val="center"/>
          </w:tcPr>
          <w:p w:rsidR="00F3444B" w:rsidRDefault="006F5B09">
            <w:r>
              <w:rPr>
                <w:color w:val="000000"/>
                <w:position w:val="-3"/>
                <w:sz w:val="21"/>
                <w:szCs w:val="21"/>
              </w:rPr>
              <w:t>Braun</w:t>
            </w:r>
          </w:p>
        </w:tc>
        <w:tc>
          <w:tcPr>
            <w:tcW w:w="700" w:type="pct"/>
            <w:tcMar>
              <w:top w:w="0" w:type="auto"/>
              <w:bottom w:w="0" w:type="auto"/>
            </w:tcMar>
            <w:vAlign w:val="center"/>
          </w:tcPr>
          <w:p w:rsidR="00F3444B" w:rsidRDefault="006F5B09">
            <w:r>
              <w:rPr>
                <w:color w:val="000000"/>
                <w:position w:val="-3"/>
                <w:sz w:val="21"/>
                <w:szCs w:val="21"/>
              </w:rPr>
              <w:t>Monitoring</w:t>
            </w:r>
          </w:p>
        </w:tc>
        <w:tc>
          <w:tcPr>
            <w:tcW w:w="700" w:type="pct"/>
            <w:tcMar>
              <w:top w:w="0" w:type="auto"/>
              <w:bottom w:w="0" w:type="auto"/>
            </w:tcMar>
            <w:vAlign w:val="center"/>
          </w:tcPr>
          <w:p w:rsidR="00F3444B" w:rsidRDefault="00F3444B"/>
        </w:tc>
      </w:tr>
      <w:tr w:rsidR="00F3444B">
        <w:trPr>
          <w:tblCellSpacing w:w="30" w:type="dxa"/>
        </w:trPr>
        <w:tc>
          <w:tcPr>
            <w:tcW w:w="0" w:type="auto"/>
            <w:vMerge/>
          </w:tcPr>
          <w:p w:rsidR="00F3444B" w:rsidRDefault="00F3444B"/>
        </w:tc>
        <w:tc>
          <w:tcPr>
            <w:tcW w:w="0" w:type="auto"/>
            <w:gridSpan w:val="5"/>
            <w:tcMar>
              <w:top w:w="0" w:type="auto"/>
              <w:bottom w:w="0" w:type="auto"/>
            </w:tcMar>
            <w:vAlign w:val="center"/>
          </w:tcPr>
          <w:p w:rsidR="00F3444B" w:rsidRDefault="006F5B09">
            <w:r>
              <w:rPr>
                <w:color w:val="000000"/>
                <w:position w:val="-3"/>
                <w:sz w:val="21"/>
                <w:szCs w:val="21"/>
              </w:rPr>
              <w:t>Defining independent contractor relationships in the context of real estate licensing.</w:t>
            </w:r>
            <w:r>
              <w:rPr>
                <w:i/>
                <w:color w:val="000000"/>
                <w:position w:val="-3"/>
                <w:sz w:val="21"/>
                <w:szCs w:val="21"/>
              </w:rPr>
              <w:br/>
            </w:r>
            <w:r>
              <w:rPr>
                <w:i/>
                <w:color w:val="000000"/>
                <w:position w:val="-3"/>
                <w:sz w:val="21"/>
                <w:szCs w:val="21"/>
              </w:rPr>
              <w:br/>
              <w:t>Sponsors:</w:t>
            </w:r>
            <w:r>
              <w:rPr>
                <w:color w:val="000000"/>
                <w:position w:val="-3"/>
                <w:sz w:val="21"/>
                <w:szCs w:val="21"/>
              </w:rPr>
              <w:t xml:space="preserve"> Braun (Prime), Conway, Rossi, Wilson</w:t>
            </w:r>
            <w:r>
              <w:rPr>
                <w:i/>
                <w:color w:val="000000"/>
                <w:position w:val="-3"/>
                <w:sz w:val="21"/>
                <w:szCs w:val="21"/>
              </w:rPr>
              <w:br/>
            </w:r>
            <w:r>
              <w:rPr>
                <w:i/>
                <w:color w:val="000000"/>
                <w:position w:val="-3"/>
                <w:sz w:val="21"/>
                <w:szCs w:val="21"/>
              </w:rPr>
              <w:br/>
              <w:t>Summary:</w:t>
            </w:r>
            <w:r>
              <w:rPr>
                <w:color w:val="000000"/>
                <w:position w:val="-3"/>
                <w:sz w:val="21"/>
                <w:szCs w:val="21"/>
              </w:rPr>
              <w:t xml:space="preserve"> Provides a definition for "independent contractor relationship" for purposes of chapter 18.85 RCW (real estate brokers and managing brokers).</w:t>
            </w:r>
            <w:r>
              <w:rPr>
                <w:i/>
                <w:color w:val="000000"/>
                <w:position w:val="-3"/>
                <w:sz w:val="21"/>
                <w:szCs w:val="21"/>
              </w:rPr>
              <w:br/>
            </w:r>
            <w:r>
              <w:rPr>
                <w:i/>
                <w:color w:val="000000"/>
                <w:position w:val="-3"/>
                <w:sz w:val="21"/>
                <w:szCs w:val="21"/>
              </w:rPr>
              <w:br/>
              <w:t>Comments:</w:t>
            </w:r>
          </w:p>
        </w:tc>
      </w:tr>
      <w:tr w:rsidR="00F3444B">
        <w:trPr>
          <w:tblCellSpacing w:w="30" w:type="dxa"/>
        </w:trPr>
        <w:tc>
          <w:tcPr>
            <w:tcW w:w="5000" w:type="pct"/>
            <w:gridSpan w:val="6"/>
            <w:tcMar>
              <w:top w:w="0" w:type="auto"/>
              <w:bottom w:w="0" w:type="auto"/>
            </w:tcMar>
            <w:vAlign w:val="center"/>
          </w:tcPr>
          <w:p w:rsidR="00F3444B" w:rsidRDefault="00EA5979">
            <w:r>
              <w:pict>
                <v:rect id="_x0000_i1029" style="width:0;height:1.5pt" o:hralign="center" o:hrstd="t" o:hr="t" fillcolor="#aca899" stroked="f"/>
              </w:pict>
            </w:r>
          </w:p>
        </w:tc>
      </w:tr>
    </w:tbl>
    <w:p w:rsidR="006F5B09" w:rsidRDefault="006F5B09"/>
    <w:sectPr w:rsidR="006F5B09" w:rsidSect="002A7CED">
      <w:footerReference w:type="default" r:id="rId21"/>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B6" w:rsidRDefault="00AE19B6" w:rsidP="00E275A7">
      <w:r>
        <w:separator/>
      </w:r>
    </w:p>
  </w:endnote>
  <w:endnote w:type="continuationSeparator" w:id="0">
    <w:p w:rsidR="00AE19B6" w:rsidRDefault="00AE19B6" w:rsidP="00E2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720344"/>
      <w:docPartObj>
        <w:docPartGallery w:val="Page Numbers (Bottom of Page)"/>
        <w:docPartUnique/>
      </w:docPartObj>
    </w:sdtPr>
    <w:sdtEndPr>
      <w:rPr>
        <w:noProof/>
      </w:rPr>
    </w:sdtEndPr>
    <w:sdtContent>
      <w:p w:rsidR="00E275A7" w:rsidRDefault="00E275A7">
        <w:pPr>
          <w:pStyle w:val="Footer"/>
          <w:jc w:val="center"/>
        </w:pPr>
        <w:r>
          <w:fldChar w:fldCharType="begin"/>
        </w:r>
        <w:r>
          <w:instrText xml:space="preserve"> PAGE   \* MERGEFORMAT </w:instrText>
        </w:r>
        <w:r>
          <w:fldChar w:fldCharType="separate"/>
        </w:r>
        <w:r w:rsidR="00EA5979">
          <w:rPr>
            <w:noProof/>
          </w:rPr>
          <w:t>1</w:t>
        </w:r>
        <w:r>
          <w:rPr>
            <w:noProof/>
          </w:rPr>
          <w:fldChar w:fldCharType="end"/>
        </w:r>
      </w:p>
    </w:sdtContent>
  </w:sdt>
  <w:p w:rsidR="00E275A7" w:rsidRDefault="00E27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B6" w:rsidRDefault="00AE19B6" w:rsidP="00E275A7">
      <w:r>
        <w:separator/>
      </w:r>
    </w:p>
  </w:footnote>
  <w:footnote w:type="continuationSeparator" w:id="0">
    <w:p w:rsidR="00AE19B6" w:rsidRDefault="00AE19B6" w:rsidP="00E27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B66"/>
    <w:multiLevelType w:val="hybridMultilevel"/>
    <w:tmpl w:val="BC04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1343E"/>
    <w:multiLevelType w:val="hybridMultilevel"/>
    <w:tmpl w:val="C74ADCBC"/>
    <w:lvl w:ilvl="0" w:tplc="23187160">
      <w:start w:val="1"/>
      <w:numFmt w:val="decimal"/>
      <w:lvlText w:val="%1."/>
      <w:lvlJc w:val="left"/>
      <w:pPr>
        <w:ind w:left="720" w:hanging="360"/>
      </w:pPr>
    </w:lvl>
    <w:lvl w:ilvl="1" w:tplc="23187160" w:tentative="1">
      <w:start w:val="1"/>
      <w:numFmt w:val="lowerLetter"/>
      <w:lvlText w:val="%2."/>
      <w:lvlJc w:val="left"/>
      <w:pPr>
        <w:ind w:left="1440" w:hanging="360"/>
      </w:pPr>
    </w:lvl>
    <w:lvl w:ilvl="2" w:tplc="23187160" w:tentative="1">
      <w:start w:val="1"/>
      <w:numFmt w:val="lowerRoman"/>
      <w:lvlText w:val="%3."/>
      <w:lvlJc w:val="right"/>
      <w:pPr>
        <w:ind w:left="2160" w:hanging="180"/>
      </w:pPr>
    </w:lvl>
    <w:lvl w:ilvl="3" w:tplc="23187160" w:tentative="1">
      <w:start w:val="1"/>
      <w:numFmt w:val="decimal"/>
      <w:lvlText w:val="%4."/>
      <w:lvlJc w:val="left"/>
      <w:pPr>
        <w:ind w:left="2880" w:hanging="360"/>
      </w:pPr>
    </w:lvl>
    <w:lvl w:ilvl="4" w:tplc="23187160" w:tentative="1">
      <w:start w:val="1"/>
      <w:numFmt w:val="lowerLetter"/>
      <w:lvlText w:val="%5."/>
      <w:lvlJc w:val="left"/>
      <w:pPr>
        <w:ind w:left="3600" w:hanging="360"/>
      </w:pPr>
    </w:lvl>
    <w:lvl w:ilvl="5" w:tplc="23187160" w:tentative="1">
      <w:start w:val="1"/>
      <w:numFmt w:val="lowerRoman"/>
      <w:lvlText w:val="%6."/>
      <w:lvlJc w:val="right"/>
      <w:pPr>
        <w:ind w:left="4320" w:hanging="180"/>
      </w:pPr>
    </w:lvl>
    <w:lvl w:ilvl="6" w:tplc="23187160" w:tentative="1">
      <w:start w:val="1"/>
      <w:numFmt w:val="decimal"/>
      <w:lvlText w:val="%7."/>
      <w:lvlJc w:val="left"/>
      <w:pPr>
        <w:ind w:left="5040" w:hanging="360"/>
      </w:pPr>
    </w:lvl>
    <w:lvl w:ilvl="7" w:tplc="23187160" w:tentative="1">
      <w:start w:val="1"/>
      <w:numFmt w:val="lowerLetter"/>
      <w:lvlText w:val="%8."/>
      <w:lvlJc w:val="left"/>
      <w:pPr>
        <w:ind w:left="5760" w:hanging="360"/>
      </w:pPr>
    </w:lvl>
    <w:lvl w:ilvl="8" w:tplc="23187160" w:tentative="1">
      <w:start w:val="1"/>
      <w:numFmt w:val="lowerRoman"/>
      <w:lvlText w:val="%9."/>
      <w:lvlJc w:val="right"/>
      <w:pPr>
        <w:ind w:left="6480" w:hanging="180"/>
      </w:pPr>
    </w:lvl>
  </w:abstractNum>
  <w:abstractNum w:abstractNumId="2">
    <w:nsid w:val="1ED927AA"/>
    <w:multiLevelType w:val="multilevel"/>
    <w:tmpl w:val="9774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E2E6039"/>
    <w:multiLevelType w:val="hybridMultilevel"/>
    <w:tmpl w:val="73829B2E"/>
    <w:lvl w:ilvl="0" w:tplc="91991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9"/>
  </w:num>
  <w:num w:numId="3">
    <w:abstractNumId w:val="10"/>
  </w:num>
  <w:num w:numId="4">
    <w:abstractNumId w:val="8"/>
  </w:num>
  <w:num w:numId="5">
    <w:abstractNumId w:val="5"/>
  </w:num>
  <w:num w:numId="6">
    <w:abstractNumId w:val="3"/>
  </w:num>
  <w:num w:numId="7">
    <w:abstractNumId w:val="6"/>
  </w:num>
  <w:num w:numId="8">
    <w:abstractNumId w:val="4"/>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ED"/>
    <w:rsid w:val="00065F97"/>
    <w:rsid w:val="00080127"/>
    <w:rsid w:val="000E5A28"/>
    <w:rsid w:val="00190762"/>
    <w:rsid w:val="0021343D"/>
    <w:rsid w:val="00253FC7"/>
    <w:rsid w:val="002A7CED"/>
    <w:rsid w:val="00314C44"/>
    <w:rsid w:val="00332050"/>
    <w:rsid w:val="003F1565"/>
    <w:rsid w:val="00403577"/>
    <w:rsid w:val="0055081D"/>
    <w:rsid w:val="005D0B3D"/>
    <w:rsid w:val="00672339"/>
    <w:rsid w:val="006E2870"/>
    <w:rsid w:val="006F5B09"/>
    <w:rsid w:val="00747401"/>
    <w:rsid w:val="007C4D0A"/>
    <w:rsid w:val="00816A3C"/>
    <w:rsid w:val="00843371"/>
    <w:rsid w:val="008E2393"/>
    <w:rsid w:val="009D694B"/>
    <w:rsid w:val="00A35038"/>
    <w:rsid w:val="00A87969"/>
    <w:rsid w:val="00A93BCE"/>
    <w:rsid w:val="00AC30E5"/>
    <w:rsid w:val="00AE19B6"/>
    <w:rsid w:val="00B954CD"/>
    <w:rsid w:val="00BE21B7"/>
    <w:rsid w:val="00BE39C5"/>
    <w:rsid w:val="00CC0845"/>
    <w:rsid w:val="00D916BB"/>
    <w:rsid w:val="00DD4120"/>
    <w:rsid w:val="00DD5CD3"/>
    <w:rsid w:val="00DF40F4"/>
    <w:rsid w:val="00E275A7"/>
    <w:rsid w:val="00E70D95"/>
    <w:rsid w:val="00EA5979"/>
    <w:rsid w:val="00F3444B"/>
    <w:rsid w:val="00FA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5A7"/>
    <w:pPr>
      <w:tabs>
        <w:tab w:val="center" w:pos="4680"/>
        <w:tab w:val="right" w:pos="9360"/>
      </w:tabs>
    </w:pPr>
  </w:style>
  <w:style w:type="character" w:customStyle="1" w:styleId="HeaderChar">
    <w:name w:val="Header Char"/>
    <w:basedOn w:val="DefaultParagraphFont"/>
    <w:link w:val="Header"/>
    <w:uiPriority w:val="99"/>
    <w:rsid w:val="00E275A7"/>
  </w:style>
  <w:style w:type="paragraph" w:styleId="Footer">
    <w:name w:val="footer"/>
    <w:basedOn w:val="Normal"/>
    <w:link w:val="FooterChar"/>
    <w:uiPriority w:val="99"/>
    <w:unhideWhenUsed/>
    <w:rsid w:val="00E275A7"/>
    <w:pPr>
      <w:tabs>
        <w:tab w:val="center" w:pos="4680"/>
        <w:tab w:val="right" w:pos="9360"/>
      </w:tabs>
    </w:pPr>
  </w:style>
  <w:style w:type="character" w:customStyle="1" w:styleId="FooterChar">
    <w:name w:val="Footer Char"/>
    <w:basedOn w:val="DefaultParagraphFont"/>
    <w:link w:val="Footer"/>
    <w:uiPriority w:val="99"/>
    <w:rsid w:val="00E275A7"/>
  </w:style>
  <w:style w:type="paragraph" w:styleId="NoSpacing">
    <w:name w:val="No Spacing"/>
    <w:uiPriority w:val="1"/>
    <w:qFormat/>
    <w:rsid w:val="008E2393"/>
  </w:style>
  <w:style w:type="paragraph" w:styleId="BalloonText">
    <w:name w:val="Balloon Text"/>
    <w:basedOn w:val="Normal"/>
    <w:link w:val="BalloonTextChar"/>
    <w:uiPriority w:val="99"/>
    <w:semiHidden/>
    <w:unhideWhenUsed/>
    <w:rsid w:val="00EA5979"/>
    <w:rPr>
      <w:rFonts w:ascii="Tahoma" w:hAnsi="Tahoma" w:cs="Tahoma"/>
      <w:sz w:val="16"/>
      <w:szCs w:val="16"/>
    </w:rPr>
  </w:style>
  <w:style w:type="character" w:customStyle="1" w:styleId="BalloonTextChar">
    <w:name w:val="Balloon Text Char"/>
    <w:basedOn w:val="DefaultParagraphFont"/>
    <w:link w:val="BalloonText"/>
    <w:uiPriority w:val="99"/>
    <w:semiHidden/>
    <w:rsid w:val="00EA5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5A7"/>
    <w:pPr>
      <w:tabs>
        <w:tab w:val="center" w:pos="4680"/>
        <w:tab w:val="right" w:pos="9360"/>
      </w:tabs>
    </w:pPr>
  </w:style>
  <w:style w:type="character" w:customStyle="1" w:styleId="HeaderChar">
    <w:name w:val="Header Char"/>
    <w:basedOn w:val="DefaultParagraphFont"/>
    <w:link w:val="Header"/>
    <w:uiPriority w:val="99"/>
    <w:rsid w:val="00E275A7"/>
  </w:style>
  <w:style w:type="paragraph" w:styleId="Footer">
    <w:name w:val="footer"/>
    <w:basedOn w:val="Normal"/>
    <w:link w:val="FooterChar"/>
    <w:uiPriority w:val="99"/>
    <w:unhideWhenUsed/>
    <w:rsid w:val="00E275A7"/>
    <w:pPr>
      <w:tabs>
        <w:tab w:val="center" w:pos="4680"/>
        <w:tab w:val="right" w:pos="9360"/>
      </w:tabs>
    </w:pPr>
  </w:style>
  <w:style w:type="character" w:customStyle="1" w:styleId="FooterChar">
    <w:name w:val="Footer Char"/>
    <w:basedOn w:val="DefaultParagraphFont"/>
    <w:link w:val="Footer"/>
    <w:uiPriority w:val="99"/>
    <w:rsid w:val="00E275A7"/>
  </w:style>
  <w:style w:type="paragraph" w:styleId="NoSpacing">
    <w:name w:val="No Spacing"/>
    <w:uiPriority w:val="1"/>
    <w:qFormat/>
    <w:rsid w:val="008E2393"/>
  </w:style>
  <w:style w:type="paragraph" w:styleId="BalloonText">
    <w:name w:val="Balloon Text"/>
    <w:basedOn w:val="Normal"/>
    <w:link w:val="BalloonTextChar"/>
    <w:uiPriority w:val="99"/>
    <w:semiHidden/>
    <w:unhideWhenUsed/>
    <w:rsid w:val="00EA5979"/>
    <w:rPr>
      <w:rFonts w:ascii="Tahoma" w:hAnsi="Tahoma" w:cs="Tahoma"/>
      <w:sz w:val="16"/>
      <w:szCs w:val="16"/>
    </w:rPr>
  </w:style>
  <w:style w:type="character" w:customStyle="1" w:styleId="BalloonTextChar">
    <w:name w:val="Balloon Text Char"/>
    <w:basedOn w:val="DefaultParagraphFont"/>
    <w:link w:val="BalloonText"/>
    <w:uiPriority w:val="99"/>
    <w:semiHidden/>
    <w:rsid w:val="00EA5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4687">
      <w:bodyDiv w:val="1"/>
      <w:marLeft w:val="0"/>
      <w:marRight w:val="0"/>
      <w:marTop w:val="0"/>
      <w:marBottom w:val="0"/>
      <w:divBdr>
        <w:top w:val="none" w:sz="0" w:space="0" w:color="auto"/>
        <w:left w:val="none" w:sz="0" w:space="0" w:color="auto"/>
        <w:bottom w:val="none" w:sz="0" w:space="0" w:color="auto"/>
        <w:right w:val="none" w:sz="0" w:space="0" w:color="auto"/>
      </w:divBdr>
      <w:divsChild>
        <w:div w:id="736900154">
          <w:marLeft w:val="0"/>
          <w:marRight w:val="0"/>
          <w:marTop w:val="0"/>
          <w:marBottom w:val="300"/>
          <w:divBdr>
            <w:top w:val="none" w:sz="0" w:space="0" w:color="auto"/>
            <w:left w:val="none" w:sz="0" w:space="0" w:color="auto"/>
            <w:bottom w:val="none" w:sz="0" w:space="0" w:color="auto"/>
            <w:right w:val="none" w:sz="0" w:space="0" w:color="auto"/>
          </w:divBdr>
          <w:divsChild>
            <w:div w:id="1494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leg.wa.gov/billsummary?Year=2017&amp;BillNumber=5081" TargetMode="External"/><Relationship Id="rId18" Type="http://schemas.openxmlformats.org/officeDocument/2006/relationships/hyperlink" Target="http://app.leg.wa.gov/billsummary?Year=2017&amp;BillNumber=5031"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leg.wa.gov/billsummary?Year=2017&amp;BillNumber=1045" TargetMode="External"/><Relationship Id="rId17" Type="http://schemas.openxmlformats.org/officeDocument/2006/relationships/hyperlink" Target="http://app.leg.wa.gov/billsummary?Year=2017&amp;BillNumber=1450" TargetMode="External"/><Relationship Id="rId2" Type="http://schemas.openxmlformats.org/officeDocument/2006/relationships/styles" Target="styles.xml"/><Relationship Id="rId16" Type="http://schemas.openxmlformats.org/officeDocument/2006/relationships/hyperlink" Target="http://app.leg.wa.gov/billsummary?Year=2017&amp;BillNumber=1137" TargetMode="External"/><Relationship Id="rId20" Type="http://schemas.openxmlformats.org/officeDocument/2006/relationships/hyperlink" Target="http://app.leg.wa.gov/billsummary?Year=2017&amp;BillNumber=51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leg.wa.gov/billsummary?Year=2017&amp;BillNumber=5031" TargetMode="External"/><Relationship Id="rId5" Type="http://schemas.openxmlformats.org/officeDocument/2006/relationships/webSettings" Target="webSettings.xml"/><Relationship Id="rId15" Type="http://schemas.openxmlformats.org/officeDocument/2006/relationships/hyperlink" Target="http://app.leg.wa.gov/billsummary?Year=2017&amp;BillNumber=5125" TargetMode="External"/><Relationship Id="rId23" Type="http://schemas.openxmlformats.org/officeDocument/2006/relationships/theme" Target="theme/theme1.xml"/><Relationship Id="rId10" Type="http://schemas.openxmlformats.org/officeDocument/2006/relationships/hyperlink" Target="http://app.leg.wa.gov/billsummary?Year=2017&amp;BillNumber=5629" TargetMode="External"/><Relationship Id="rId19" Type="http://schemas.openxmlformats.org/officeDocument/2006/relationships/hyperlink" Target="http://app.leg.wa.gov/billsummary?Year=2017&amp;BillNumber=5081" TargetMode="External"/><Relationship Id="rId4" Type="http://schemas.openxmlformats.org/officeDocument/2006/relationships/settings" Target="settings.xml"/><Relationship Id="rId9" Type="http://schemas.openxmlformats.org/officeDocument/2006/relationships/hyperlink" Target="http://app.leg.wa.gov/billsummary?Year=2017&amp;BillNumber=1450" TargetMode="External"/><Relationship Id="rId14" Type="http://schemas.openxmlformats.org/officeDocument/2006/relationships/hyperlink" Target="http://app.leg.wa.gov/billsummary?Year=2017&amp;BillNumb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Horenstein</dc:creator>
  <cp:lastModifiedBy>AKerstner</cp:lastModifiedBy>
  <cp:revision>2</cp:revision>
  <dcterms:created xsi:type="dcterms:W3CDTF">2017-04-27T15:55:00Z</dcterms:created>
  <dcterms:modified xsi:type="dcterms:W3CDTF">2017-04-27T15:55:00Z</dcterms:modified>
</cp:coreProperties>
</file>